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342A2" w14:textId="77777777" w:rsidR="00DC1894" w:rsidRPr="00CD752E" w:rsidRDefault="00DC1894" w:rsidP="00CD752E">
      <w:pPr>
        <w:tabs>
          <w:tab w:val="left" w:pos="709"/>
        </w:tabs>
        <w:spacing w:line="276" w:lineRule="auto"/>
        <w:ind w:right="-97"/>
        <w:jc w:val="center"/>
        <w:rPr>
          <w:rFonts w:ascii="Adani Regular" w:eastAsia="Calibri" w:hAnsi="Adani Regular" w:cs="Arial"/>
          <w:b/>
          <w:sz w:val="22"/>
          <w:szCs w:val="22"/>
          <w:u w:val="single"/>
        </w:rPr>
      </w:pPr>
      <w:r w:rsidRPr="00CD752E">
        <w:rPr>
          <w:rFonts w:ascii="Adani Regular" w:eastAsia="Calibri" w:hAnsi="Adani Regular" w:cs="Arial"/>
          <w:b/>
          <w:sz w:val="22"/>
          <w:szCs w:val="22"/>
          <w:u w:val="single"/>
        </w:rPr>
        <w:t>ADANI POWER (JHARKHAND) LIMITED</w:t>
      </w:r>
    </w:p>
    <w:p w14:paraId="26E01646" w14:textId="77777777" w:rsidR="00395BBB" w:rsidRPr="00CD752E" w:rsidRDefault="00395BBB" w:rsidP="00CD752E">
      <w:pPr>
        <w:tabs>
          <w:tab w:val="left" w:pos="709"/>
        </w:tabs>
        <w:spacing w:line="276" w:lineRule="auto"/>
        <w:ind w:right="-97"/>
        <w:rPr>
          <w:rFonts w:ascii="Adani Regular" w:eastAsia="Calibri" w:hAnsi="Adani Regular" w:cs="Arial"/>
          <w:b/>
          <w:sz w:val="22"/>
          <w:szCs w:val="22"/>
        </w:rPr>
      </w:pPr>
    </w:p>
    <w:p w14:paraId="3442000F" w14:textId="6E024A3A" w:rsidR="00085840" w:rsidRPr="00085840" w:rsidRDefault="00085840" w:rsidP="00085840">
      <w:pPr>
        <w:tabs>
          <w:tab w:val="left" w:pos="709"/>
        </w:tabs>
        <w:spacing w:line="276" w:lineRule="auto"/>
        <w:ind w:right="-97"/>
        <w:jc w:val="center"/>
        <w:rPr>
          <w:rFonts w:ascii="Adani Regular" w:hAnsi="Adani Regular"/>
          <w:b/>
          <w:bCs/>
          <w:sz w:val="22"/>
          <w:szCs w:val="22"/>
          <w:u w:val="single"/>
        </w:rPr>
      </w:pPr>
      <w:r w:rsidRPr="00085840">
        <w:rPr>
          <w:rFonts w:ascii="Adani Regular" w:hAnsi="Adani Regular"/>
          <w:b/>
          <w:bCs/>
          <w:sz w:val="22"/>
          <w:szCs w:val="22"/>
          <w:u w:val="single"/>
        </w:rPr>
        <w:t>PROJECT SUMMARY</w:t>
      </w:r>
    </w:p>
    <w:p w14:paraId="6DE3D63F" w14:textId="77777777" w:rsidR="00085840" w:rsidRDefault="00085840" w:rsidP="00CD752E">
      <w:pPr>
        <w:tabs>
          <w:tab w:val="left" w:pos="709"/>
        </w:tabs>
        <w:spacing w:line="276" w:lineRule="auto"/>
        <w:ind w:right="-97"/>
        <w:jc w:val="both"/>
        <w:rPr>
          <w:rFonts w:ascii="Adani Regular" w:hAnsi="Adani Regular"/>
          <w:sz w:val="22"/>
          <w:szCs w:val="22"/>
        </w:rPr>
      </w:pPr>
    </w:p>
    <w:p w14:paraId="7DC33199" w14:textId="68E680B0"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Adani Power (Jharkhand) Limited (APJL</w:t>
      </w:r>
      <w:r w:rsidR="00CD3CE3">
        <w:rPr>
          <w:rFonts w:ascii="Adani Regular" w:hAnsi="Adani Regular"/>
          <w:sz w:val="22"/>
          <w:szCs w:val="22"/>
        </w:rPr>
        <w:t>/ Company</w:t>
      </w:r>
      <w:r w:rsidRPr="00CD752E">
        <w:rPr>
          <w:rFonts w:ascii="Adani Regular" w:hAnsi="Adani Regular"/>
          <w:sz w:val="22"/>
          <w:szCs w:val="22"/>
        </w:rPr>
        <w:t xml:space="preserve">) </w:t>
      </w:r>
      <w:r w:rsidR="00CD3CE3">
        <w:rPr>
          <w:rFonts w:ascii="Adani Regular" w:hAnsi="Adani Regular"/>
          <w:sz w:val="22"/>
          <w:szCs w:val="22"/>
        </w:rPr>
        <w:t xml:space="preserve">is </w:t>
      </w:r>
      <w:r w:rsidRPr="00CD752E">
        <w:rPr>
          <w:rFonts w:ascii="Adani Regular" w:hAnsi="Adani Regular"/>
          <w:sz w:val="22"/>
          <w:szCs w:val="22"/>
        </w:rPr>
        <w:t xml:space="preserve">implementing 2x800 MW Thermal Power Project in the State of Jharkhand. </w:t>
      </w:r>
    </w:p>
    <w:p w14:paraId="4452C74C" w14:textId="77777777" w:rsidR="000E1CC2" w:rsidRPr="00CD752E" w:rsidRDefault="000E1CC2" w:rsidP="00CD752E">
      <w:pPr>
        <w:tabs>
          <w:tab w:val="left" w:pos="709"/>
        </w:tabs>
        <w:spacing w:line="276" w:lineRule="auto"/>
        <w:ind w:right="-97"/>
        <w:jc w:val="both"/>
        <w:rPr>
          <w:rFonts w:ascii="Adani Regular" w:hAnsi="Adani Regular"/>
          <w:sz w:val="22"/>
          <w:szCs w:val="22"/>
        </w:rPr>
      </w:pPr>
    </w:p>
    <w:p w14:paraId="36B48D3F"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 xml:space="preserve">General Particulars of the APJL is as under </w:t>
      </w:r>
    </w:p>
    <w:tbl>
      <w:tblPr>
        <w:tblStyle w:val="TableGrid"/>
        <w:tblW w:w="9493" w:type="dxa"/>
        <w:tblLook w:val="04A0" w:firstRow="1" w:lastRow="0" w:firstColumn="1" w:lastColumn="0" w:noHBand="0" w:noVBand="1"/>
      </w:tblPr>
      <w:tblGrid>
        <w:gridCol w:w="2424"/>
        <w:gridCol w:w="277"/>
        <w:gridCol w:w="6792"/>
      </w:tblGrid>
      <w:tr w:rsidR="000E1CC2" w:rsidRPr="00CD752E" w14:paraId="24B3D134" w14:textId="77777777" w:rsidTr="001C7175">
        <w:tc>
          <w:tcPr>
            <w:tcW w:w="2424" w:type="dxa"/>
          </w:tcPr>
          <w:p w14:paraId="479B6D2C"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Name</w:t>
            </w:r>
          </w:p>
        </w:tc>
        <w:tc>
          <w:tcPr>
            <w:tcW w:w="277" w:type="dxa"/>
          </w:tcPr>
          <w:p w14:paraId="30B80F2C"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w:t>
            </w:r>
          </w:p>
        </w:tc>
        <w:tc>
          <w:tcPr>
            <w:tcW w:w="6792" w:type="dxa"/>
          </w:tcPr>
          <w:p w14:paraId="202ACAD3"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 xml:space="preserve">Adani Power (Jharkhand) Limited </w:t>
            </w:r>
            <w:proofErr w:type="gramStart"/>
            <w:r w:rsidRPr="00CD752E">
              <w:rPr>
                <w:rFonts w:ascii="Adani Regular" w:hAnsi="Adani Regular"/>
                <w:sz w:val="22"/>
                <w:szCs w:val="22"/>
              </w:rPr>
              <w:t>( APJL</w:t>
            </w:r>
            <w:proofErr w:type="gramEnd"/>
            <w:r w:rsidRPr="00CD752E">
              <w:rPr>
                <w:rFonts w:ascii="Adani Regular" w:hAnsi="Adani Regular"/>
                <w:sz w:val="22"/>
                <w:szCs w:val="22"/>
              </w:rPr>
              <w:t>)</w:t>
            </w:r>
          </w:p>
        </w:tc>
      </w:tr>
      <w:tr w:rsidR="000E1CC2" w:rsidRPr="00CD752E" w14:paraId="1CEA0FD0" w14:textId="77777777" w:rsidTr="001C7175">
        <w:tc>
          <w:tcPr>
            <w:tcW w:w="2424" w:type="dxa"/>
          </w:tcPr>
          <w:p w14:paraId="216D757C"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Incorporation Date</w:t>
            </w:r>
          </w:p>
        </w:tc>
        <w:tc>
          <w:tcPr>
            <w:tcW w:w="277" w:type="dxa"/>
          </w:tcPr>
          <w:p w14:paraId="7F40D55C"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w:t>
            </w:r>
          </w:p>
        </w:tc>
        <w:tc>
          <w:tcPr>
            <w:tcW w:w="6792" w:type="dxa"/>
          </w:tcPr>
          <w:p w14:paraId="754616EA"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18th December 2015</w:t>
            </w:r>
          </w:p>
        </w:tc>
      </w:tr>
      <w:tr w:rsidR="000E1CC2" w:rsidRPr="00CD752E" w14:paraId="319C7EF1" w14:textId="77777777" w:rsidTr="001C7175">
        <w:tc>
          <w:tcPr>
            <w:tcW w:w="2424" w:type="dxa"/>
          </w:tcPr>
          <w:p w14:paraId="5A6D5B54"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CIN</w:t>
            </w:r>
          </w:p>
        </w:tc>
        <w:tc>
          <w:tcPr>
            <w:tcW w:w="277" w:type="dxa"/>
          </w:tcPr>
          <w:p w14:paraId="30558B45"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w:t>
            </w:r>
          </w:p>
        </w:tc>
        <w:tc>
          <w:tcPr>
            <w:tcW w:w="6792" w:type="dxa"/>
          </w:tcPr>
          <w:p w14:paraId="5CCCA32B"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U40100GJ2015PLC085448</w:t>
            </w:r>
          </w:p>
        </w:tc>
      </w:tr>
      <w:tr w:rsidR="000E1CC2" w:rsidRPr="00CD752E" w14:paraId="7BD0C0B0" w14:textId="77777777" w:rsidTr="001C7175">
        <w:tc>
          <w:tcPr>
            <w:tcW w:w="2424" w:type="dxa"/>
          </w:tcPr>
          <w:p w14:paraId="5BBEA09E"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Constitution</w:t>
            </w:r>
          </w:p>
        </w:tc>
        <w:tc>
          <w:tcPr>
            <w:tcW w:w="277" w:type="dxa"/>
          </w:tcPr>
          <w:p w14:paraId="3B24A8A9"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w:t>
            </w:r>
          </w:p>
        </w:tc>
        <w:tc>
          <w:tcPr>
            <w:tcW w:w="6792" w:type="dxa"/>
          </w:tcPr>
          <w:p w14:paraId="08673E61"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Public Limited Company</w:t>
            </w:r>
          </w:p>
        </w:tc>
      </w:tr>
      <w:tr w:rsidR="000E1CC2" w:rsidRPr="00CD752E" w14:paraId="49CA9A07" w14:textId="77777777" w:rsidTr="001C7175">
        <w:tc>
          <w:tcPr>
            <w:tcW w:w="2424" w:type="dxa"/>
          </w:tcPr>
          <w:p w14:paraId="127D1BA6"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Industry</w:t>
            </w:r>
          </w:p>
        </w:tc>
        <w:tc>
          <w:tcPr>
            <w:tcW w:w="277" w:type="dxa"/>
          </w:tcPr>
          <w:p w14:paraId="649A5E95"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w:t>
            </w:r>
          </w:p>
        </w:tc>
        <w:tc>
          <w:tcPr>
            <w:tcW w:w="6792" w:type="dxa"/>
          </w:tcPr>
          <w:p w14:paraId="112B6B93"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Power Generation</w:t>
            </w:r>
          </w:p>
        </w:tc>
      </w:tr>
      <w:tr w:rsidR="000E1CC2" w:rsidRPr="00CD752E" w14:paraId="348A0500" w14:textId="77777777" w:rsidTr="001C7175">
        <w:tc>
          <w:tcPr>
            <w:tcW w:w="2424" w:type="dxa"/>
          </w:tcPr>
          <w:p w14:paraId="7C83DE26"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Registered Office</w:t>
            </w:r>
          </w:p>
        </w:tc>
        <w:tc>
          <w:tcPr>
            <w:tcW w:w="277" w:type="dxa"/>
          </w:tcPr>
          <w:p w14:paraId="69EE4F50"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w:t>
            </w:r>
          </w:p>
        </w:tc>
        <w:tc>
          <w:tcPr>
            <w:tcW w:w="6792" w:type="dxa"/>
          </w:tcPr>
          <w:p w14:paraId="7665A579" w14:textId="7C11A8D8" w:rsidR="000E1CC2" w:rsidRPr="00CD752E" w:rsidRDefault="00C76E3F"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 xml:space="preserve">Adani Corporate House, Shantigram, Near Vaishno Devi Circle, S. G. Highway, Khodiyar, Ahmedabad, Gujarat </w:t>
            </w:r>
            <w:r w:rsidR="0085282D" w:rsidRPr="00CD752E">
              <w:rPr>
                <w:rFonts w:ascii="Adani Regular" w:hAnsi="Adani Regular"/>
                <w:sz w:val="22"/>
                <w:szCs w:val="22"/>
              </w:rPr>
              <w:t>–</w:t>
            </w:r>
            <w:r w:rsidRPr="00CD752E">
              <w:rPr>
                <w:rFonts w:ascii="Adani Regular" w:hAnsi="Adani Regular"/>
                <w:sz w:val="22"/>
                <w:szCs w:val="22"/>
              </w:rPr>
              <w:t xml:space="preserve"> 382421</w:t>
            </w:r>
          </w:p>
        </w:tc>
      </w:tr>
      <w:tr w:rsidR="000E1CC2" w:rsidRPr="00CD752E" w14:paraId="063D11D7" w14:textId="77777777" w:rsidTr="001C7175">
        <w:tc>
          <w:tcPr>
            <w:tcW w:w="2424" w:type="dxa"/>
          </w:tcPr>
          <w:p w14:paraId="2DEE9629"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Site Location</w:t>
            </w:r>
          </w:p>
        </w:tc>
        <w:tc>
          <w:tcPr>
            <w:tcW w:w="277" w:type="dxa"/>
          </w:tcPr>
          <w:p w14:paraId="35036F79"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w:t>
            </w:r>
          </w:p>
        </w:tc>
        <w:tc>
          <w:tcPr>
            <w:tcW w:w="6792" w:type="dxa"/>
          </w:tcPr>
          <w:p w14:paraId="5FD840DC"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 xml:space="preserve">Villages – </w:t>
            </w:r>
            <w:proofErr w:type="spellStart"/>
            <w:r w:rsidRPr="00CD752E">
              <w:rPr>
                <w:rFonts w:ascii="Adani Regular" w:hAnsi="Adani Regular"/>
                <w:sz w:val="22"/>
                <w:szCs w:val="22"/>
              </w:rPr>
              <w:t>Motia</w:t>
            </w:r>
            <w:proofErr w:type="spellEnd"/>
            <w:r w:rsidRPr="00CD752E">
              <w:rPr>
                <w:rFonts w:ascii="Adani Regular" w:hAnsi="Adani Regular"/>
                <w:sz w:val="22"/>
                <w:szCs w:val="22"/>
              </w:rPr>
              <w:t xml:space="preserve">, Mali, </w:t>
            </w:r>
            <w:proofErr w:type="spellStart"/>
            <w:r w:rsidRPr="00CD752E">
              <w:rPr>
                <w:rFonts w:ascii="Adani Regular" w:hAnsi="Adani Regular"/>
                <w:sz w:val="22"/>
                <w:szCs w:val="22"/>
              </w:rPr>
              <w:t>Gaighat</w:t>
            </w:r>
            <w:proofErr w:type="spellEnd"/>
            <w:r w:rsidRPr="00CD752E">
              <w:rPr>
                <w:rFonts w:ascii="Adani Regular" w:hAnsi="Adani Regular"/>
                <w:sz w:val="22"/>
                <w:szCs w:val="22"/>
              </w:rPr>
              <w:t xml:space="preserve"> &amp; adjacent villages in Godda District, Jharkhand, India</w:t>
            </w:r>
          </w:p>
        </w:tc>
      </w:tr>
    </w:tbl>
    <w:p w14:paraId="6FE21761" w14:textId="77777777" w:rsidR="000E1CC2" w:rsidRPr="00CD752E" w:rsidRDefault="000E1CC2" w:rsidP="00CD752E">
      <w:pPr>
        <w:tabs>
          <w:tab w:val="left" w:pos="709"/>
        </w:tabs>
        <w:spacing w:line="276" w:lineRule="auto"/>
        <w:ind w:right="-97"/>
        <w:jc w:val="both"/>
        <w:rPr>
          <w:rFonts w:ascii="Adani Regular" w:hAnsi="Adani Regular"/>
          <w:sz w:val="22"/>
          <w:szCs w:val="22"/>
        </w:rPr>
      </w:pPr>
    </w:p>
    <w:p w14:paraId="4FA7DFDF" w14:textId="77777777" w:rsidR="000E1CC2" w:rsidRPr="00CD752E" w:rsidRDefault="000E1CC2" w:rsidP="00CD752E">
      <w:pPr>
        <w:tabs>
          <w:tab w:val="left" w:pos="709"/>
        </w:tabs>
        <w:spacing w:line="276" w:lineRule="auto"/>
        <w:ind w:right="-97"/>
        <w:jc w:val="both"/>
        <w:rPr>
          <w:rFonts w:ascii="Adani Regular" w:hAnsi="Adani Regular"/>
          <w:b/>
          <w:sz w:val="22"/>
          <w:szCs w:val="22"/>
        </w:rPr>
      </w:pPr>
      <w:r w:rsidRPr="00CD752E">
        <w:rPr>
          <w:rFonts w:ascii="Adani Regular" w:hAnsi="Adani Regular"/>
          <w:b/>
          <w:sz w:val="22"/>
          <w:szCs w:val="22"/>
        </w:rPr>
        <w:t xml:space="preserve">Business Area </w:t>
      </w:r>
    </w:p>
    <w:p w14:paraId="76443CC2" w14:textId="77777777" w:rsidR="000E1CC2" w:rsidRPr="00CD752E" w:rsidRDefault="000E1CC2" w:rsidP="00CD752E">
      <w:p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 xml:space="preserve">As per Memorandum and Articles of Association of APJL, its main objective includes: </w:t>
      </w:r>
    </w:p>
    <w:p w14:paraId="32DBDB02" w14:textId="77777777" w:rsidR="000E1CC2" w:rsidRPr="00CD752E" w:rsidRDefault="000E1CC2" w:rsidP="004819CB">
      <w:pPr>
        <w:pStyle w:val="ListParagraph"/>
        <w:numPr>
          <w:ilvl w:val="0"/>
          <w:numId w:val="2"/>
        </w:num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 xml:space="preserve">To carry on the business of generation, accumulation, distribution and supply of and to generally deal in electricity through itself and its subsidiaries/associates. </w:t>
      </w:r>
    </w:p>
    <w:p w14:paraId="376DB15F" w14:textId="77777777" w:rsidR="000E1CC2" w:rsidRPr="00CD752E" w:rsidRDefault="000E1CC2" w:rsidP="004819CB">
      <w:pPr>
        <w:pStyle w:val="ListParagraph"/>
        <w:numPr>
          <w:ilvl w:val="0"/>
          <w:numId w:val="2"/>
        </w:numPr>
        <w:tabs>
          <w:tab w:val="left" w:pos="709"/>
        </w:tabs>
        <w:spacing w:line="276" w:lineRule="auto"/>
        <w:ind w:right="-97"/>
        <w:jc w:val="both"/>
        <w:rPr>
          <w:rFonts w:ascii="Adani Regular" w:hAnsi="Adani Regular"/>
          <w:sz w:val="22"/>
          <w:szCs w:val="22"/>
        </w:rPr>
      </w:pPr>
      <w:r w:rsidRPr="00CD752E">
        <w:rPr>
          <w:rFonts w:ascii="Adani Regular" w:hAnsi="Adani Regular"/>
          <w:sz w:val="22"/>
          <w:szCs w:val="22"/>
        </w:rPr>
        <w:t>To establish, operate and maintain generating stations, accumulation, tie lines, substations, workshops, transmission lines and to lay down cables, wires. To manufacture, deal in, let on hire, install, repair and maintain plant, machinery, equipment, appliances, components and apparatus of any nature whatsoever used in connection with generation storage, supply, distributors, and application of electrical energy.</w:t>
      </w:r>
    </w:p>
    <w:p w14:paraId="063A5498" w14:textId="77777777" w:rsidR="000E1CC2" w:rsidRPr="00CD752E" w:rsidRDefault="000E1CC2" w:rsidP="00CD752E">
      <w:pPr>
        <w:tabs>
          <w:tab w:val="left" w:pos="709"/>
        </w:tabs>
        <w:spacing w:line="276" w:lineRule="auto"/>
        <w:ind w:right="-97"/>
        <w:jc w:val="both"/>
        <w:rPr>
          <w:rFonts w:ascii="Adani Regular" w:hAnsi="Adani Regular"/>
          <w:sz w:val="22"/>
          <w:szCs w:val="22"/>
        </w:rPr>
      </w:pPr>
    </w:p>
    <w:p w14:paraId="6BCB56C0" w14:textId="18288C58" w:rsidR="000643CB" w:rsidRPr="00A83EE9" w:rsidRDefault="00827ABA" w:rsidP="00997F71">
      <w:pPr>
        <w:tabs>
          <w:tab w:val="left" w:pos="709"/>
        </w:tabs>
        <w:ind w:right="-97"/>
        <w:jc w:val="both"/>
        <w:rPr>
          <w:rFonts w:ascii="Adani Regular" w:eastAsia="Calibri" w:hAnsi="Adani Regular" w:cs="Arial"/>
          <w:b/>
          <w:sz w:val="22"/>
          <w:szCs w:val="22"/>
          <w:u w:val="single"/>
        </w:rPr>
      </w:pPr>
      <w:r w:rsidRPr="00CD752E">
        <w:rPr>
          <w:rFonts w:ascii="Adani Regular" w:eastAsia="Calibri" w:hAnsi="Adani Regular" w:cs="Arial"/>
          <w:b/>
          <w:sz w:val="22"/>
          <w:szCs w:val="22"/>
        </w:rPr>
        <w:t>Project Background:</w:t>
      </w:r>
    </w:p>
    <w:p w14:paraId="72CBF2B7" w14:textId="1071701A" w:rsidR="00C15DBC" w:rsidRPr="00CD752E" w:rsidRDefault="00C15DBC" w:rsidP="00997F71">
      <w:pPr>
        <w:tabs>
          <w:tab w:val="left" w:pos="709"/>
        </w:tabs>
        <w:ind w:right="-97"/>
        <w:jc w:val="both"/>
        <w:rPr>
          <w:rFonts w:ascii="Adani Regular" w:hAnsi="Adani Regular"/>
          <w:sz w:val="22"/>
          <w:szCs w:val="22"/>
        </w:rPr>
      </w:pPr>
      <w:r w:rsidRPr="00CD752E">
        <w:rPr>
          <w:rFonts w:ascii="Adani Regular" w:hAnsi="Adani Regular"/>
          <w:sz w:val="22"/>
          <w:szCs w:val="22"/>
        </w:rPr>
        <w:t xml:space="preserve">APJL </w:t>
      </w:r>
      <w:r w:rsidR="009E1C00">
        <w:rPr>
          <w:rFonts w:ascii="Adani Regular" w:hAnsi="Adani Regular"/>
          <w:sz w:val="22"/>
          <w:szCs w:val="22"/>
        </w:rPr>
        <w:t>has set</w:t>
      </w:r>
      <w:r w:rsidRPr="00CD752E">
        <w:rPr>
          <w:rFonts w:ascii="Adani Regular" w:hAnsi="Adani Regular"/>
          <w:sz w:val="22"/>
          <w:szCs w:val="22"/>
        </w:rPr>
        <w:t xml:space="preserve"> up a Coal based Thermal Power Project with two coal fired units of 800 MW rating each in Godda district of Jharkhand State in India, along with dedicated transmission facility from Power Project to Indian side of Indo-Bangladesh border, for export of power to People’s Republic of Bangladesh. The Proposed Project has adopted Ultra Supercritical Technology to achieve higher efficiency and lower generation cost and emissions levels. </w:t>
      </w:r>
    </w:p>
    <w:p w14:paraId="152B5723" w14:textId="77777777" w:rsidR="00C15DBC" w:rsidRPr="00CD752E" w:rsidRDefault="00C15DBC" w:rsidP="00997F71">
      <w:pPr>
        <w:tabs>
          <w:tab w:val="left" w:pos="709"/>
        </w:tabs>
        <w:ind w:right="-97"/>
        <w:jc w:val="both"/>
        <w:rPr>
          <w:rFonts w:ascii="Adani Regular" w:hAnsi="Adani Regular"/>
          <w:sz w:val="22"/>
          <w:szCs w:val="22"/>
        </w:rPr>
      </w:pPr>
    </w:p>
    <w:p w14:paraId="3ABA888C" w14:textId="35B128E8" w:rsidR="00C15DBC" w:rsidRPr="00CD752E" w:rsidRDefault="00C15DBC" w:rsidP="00997F71">
      <w:pPr>
        <w:tabs>
          <w:tab w:val="left" w:pos="709"/>
        </w:tabs>
        <w:ind w:right="-97"/>
        <w:jc w:val="both"/>
        <w:rPr>
          <w:rFonts w:ascii="Adani Regular" w:hAnsi="Adani Regular"/>
          <w:sz w:val="22"/>
          <w:szCs w:val="22"/>
        </w:rPr>
      </w:pPr>
      <w:r w:rsidRPr="00CD752E">
        <w:rPr>
          <w:rFonts w:ascii="Adani Regular" w:hAnsi="Adani Regular"/>
          <w:sz w:val="22"/>
          <w:szCs w:val="22"/>
        </w:rPr>
        <w:t xml:space="preserve">The Thermal Power </w:t>
      </w:r>
      <w:proofErr w:type="gramStart"/>
      <w:r w:rsidRPr="00CD752E">
        <w:rPr>
          <w:rFonts w:ascii="Adani Regular" w:hAnsi="Adani Regular"/>
          <w:sz w:val="22"/>
          <w:szCs w:val="22"/>
        </w:rPr>
        <w:t>Project  developed</w:t>
      </w:r>
      <w:proofErr w:type="gramEnd"/>
      <w:r w:rsidRPr="00CD752E">
        <w:rPr>
          <w:rFonts w:ascii="Adani Regular" w:hAnsi="Adani Regular"/>
          <w:sz w:val="22"/>
          <w:szCs w:val="22"/>
        </w:rPr>
        <w:t xml:space="preserve"> in a single phase consisting of two (2) units of 800 MW. The Project will be using pulverized coal to meet its fuel requirements. The pulverized coal is proposed to be sourced from Indonesia, South Africa and Australia. </w:t>
      </w:r>
    </w:p>
    <w:p w14:paraId="21152A7E" w14:textId="77777777" w:rsidR="00C15DBC" w:rsidRPr="00CD752E" w:rsidRDefault="00C15DBC" w:rsidP="00997F71">
      <w:pPr>
        <w:tabs>
          <w:tab w:val="left" w:pos="709"/>
        </w:tabs>
        <w:ind w:right="-97"/>
        <w:jc w:val="both"/>
        <w:rPr>
          <w:rFonts w:ascii="Adani Regular" w:hAnsi="Adani Regular"/>
          <w:sz w:val="22"/>
          <w:szCs w:val="22"/>
        </w:rPr>
      </w:pPr>
    </w:p>
    <w:p w14:paraId="440BF020" w14:textId="77777777" w:rsidR="00C15DBC" w:rsidRPr="00CD752E" w:rsidRDefault="00C15DBC" w:rsidP="00997F71">
      <w:pPr>
        <w:tabs>
          <w:tab w:val="left" w:pos="709"/>
        </w:tabs>
        <w:ind w:right="-97"/>
        <w:jc w:val="both"/>
        <w:rPr>
          <w:rFonts w:ascii="Adani Regular" w:hAnsi="Adani Regular"/>
          <w:sz w:val="22"/>
          <w:szCs w:val="22"/>
        </w:rPr>
      </w:pPr>
      <w:r w:rsidRPr="00CD752E">
        <w:rPr>
          <w:rFonts w:ascii="Adani Regular" w:hAnsi="Adani Regular"/>
          <w:sz w:val="22"/>
          <w:szCs w:val="22"/>
        </w:rPr>
        <w:t xml:space="preserve">The Project has been conceptualized and is being developed under a Framework Agreement between Government of India (GoI) and Government of Bangladesh (GoB) in terms of enhancing bilateral cooperation for trading of electricity. GoI has already accorded relevant approvals under the Cross Border Trading of Electricity guidelines, to the Project. APJL has signed an Implementation Agreement (IA) with </w:t>
      </w:r>
      <w:r w:rsidRPr="00CD752E">
        <w:rPr>
          <w:rFonts w:ascii="Adani Regular" w:hAnsi="Adani Regular"/>
          <w:sz w:val="22"/>
          <w:szCs w:val="22"/>
        </w:rPr>
        <w:lastRenderedPageBreak/>
        <w:t xml:space="preserve">Government of Bangladesh (GOB) and Power Grid Company of Bangladesh (PGCB) and a Power Purchase Agreement (PPA) with Bangladesh Power Development Board (BPDB), on 5th November 2017 for 1496 MW net capacity with a two-part tariff structure denominated in USD terms wherein coal cost for the company is a </w:t>
      </w:r>
      <w:proofErr w:type="gramStart"/>
      <w:r w:rsidRPr="00CD752E">
        <w:rPr>
          <w:rFonts w:ascii="Adani Regular" w:hAnsi="Adani Regular"/>
          <w:sz w:val="22"/>
          <w:szCs w:val="22"/>
        </w:rPr>
        <w:t>pass through</w:t>
      </w:r>
      <w:proofErr w:type="gramEnd"/>
      <w:r w:rsidRPr="00CD752E">
        <w:rPr>
          <w:rFonts w:ascii="Adani Regular" w:hAnsi="Adani Regular"/>
          <w:sz w:val="22"/>
          <w:szCs w:val="22"/>
        </w:rPr>
        <w:t xml:space="preserve"> component with fixed revenue stream; both in USD terms. </w:t>
      </w:r>
    </w:p>
    <w:p w14:paraId="1907D8FD" w14:textId="77777777" w:rsidR="00C15DBC" w:rsidRPr="00CD752E" w:rsidRDefault="00C15DBC" w:rsidP="00997F71">
      <w:pPr>
        <w:tabs>
          <w:tab w:val="left" w:pos="709"/>
        </w:tabs>
        <w:ind w:right="-97"/>
        <w:jc w:val="both"/>
        <w:rPr>
          <w:rFonts w:ascii="Adani Regular" w:hAnsi="Adani Regular"/>
          <w:sz w:val="22"/>
          <w:szCs w:val="22"/>
        </w:rPr>
      </w:pPr>
    </w:p>
    <w:p w14:paraId="5D1C21D3" w14:textId="77777777" w:rsidR="00C15DBC" w:rsidRPr="00CD752E" w:rsidRDefault="00C15DBC" w:rsidP="00997F71">
      <w:pPr>
        <w:tabs>
          <w:tab w:val="left" w:pos="709"/>
        </w:tabs>
        <w:ind w:right="-97"/>
        <w:jc w:val="both"/>
        <w:rPr>
          <w:rFonts w:ascii="Adani Regular" w:hAnsi="Adani Regular" w:cs="Arial"/>
          <w:sz w:val="22"/>
          <w:szCs w:val="22"/>
        </w:rPr>
      </w:pPr>
      <w:r w:rsidRPr="00CD752E">
        <w:rPr>
          <w:rFonts w:ascii="Adani Regular" w:hAnsi="Adani Regular"/>
          <w:sz w:val="22"/>
          <w:szCs w:val="22"/>
        </w:rPr>
        <w:t xml:space="preserve">The counterparty to the PPA is the BPDB which is a public utility engaged in the business of power generation, transmission, distribution and sale of electricity and energy in the People’s Republic of Bangladesh. The counterparties to the IA </w:t>
      </w:r>
      <w:proofErr w:type="gramStart"/>
      <w:r w:rsidRPr="00CD752E">
        <w:rPr>
          <w:rFonts w:ascii="Adani Regular" w:hAnsi="Adani Regular"/>
          <w:sz w:val="22"/>
          <w:szCs w:val="22"/>
        </w:rPr>
        <w:t>includes</w:t>
      </w:r>
      <w:proofErr w:type="gramEnd"/>
      <w:r w:rsidRPr="00CD752E">
        <w:rPr>
          <w:rFonts w:ascii="Adani Regular" w:hAnsi="Adani Regular"/>
          <w:sz w:val="22"/>
          <w:szCs w:val="22"/>
        </w:rPr>
        <w:t xml:space="preserve"> the GoB which is represented by the Ministry of Power, Energy and Mineral Resources in Bangladesh, and the PGCB is the sole electric power transmission organization in Bangladesh, which is a government undertaking company that owns and operates the power grid in Bangladesh. The PGCB is a subsidiary of BPDB. All the obligations including payment obligations of BPDB under the PPA and PGCB under the IA are guaranteed by sovereign guarantee from the GoB</w:t>
      </w:r>
    </w:p>
    <w:p w14:paraId="1B4A732C" w14:textId="77777777" w:rsidR="00C15DBC" w:rsidRDefault="00C15DBC" w:rsidP="00997F71">
      <w:pPr>
        <w:tabs>
          <w:tab w:val="left" w:pos="709"/>
        </w:tabs>
        <w:ind w:right="-97"/>
        <w:jc w:val="both"/>
        <w:rPr>
          <w:rFonts w:ascii="Adani Regular" w:hAnsi="Adani Regular" w:cs="Arial"/>
          <w:sz w:val="22"/>
          <w:szCs w:val="22"/>
        </w:rPr>
      </w:pPr>
    </w:p>
    <w:p w14:paraId="58BFB5EE" w14:textId="2CD3EED5" w:rsidR="009E1C00" w:rsidRPr="00CD752E" w:rsidRDefault="009E1C00" w:rsidP="00997F71">
      <w:pPr>
        <w:tabs>
          <w:tab w:val="left" w:pos="709"/>
        </w:tabs>
        <w:ind w:right="-97"/>
        <w:jc w:val="both"/>
        <w:rPr>
          <w:rFonts w:ascii="Adani Regular" w:hAnsi="Adani Regular" w:cs="Arial"/>
          <w:sz w:val="22"/>
          <w:szCs w:val="22"/>
        </w:rPr>
      </w:pPr>
      <w:r>
        <w:rPr>
          <w:rFonts w:ascii="Adani Regular" w:hAnsi="Adani Regular" w:cs="Arial"/>
          <w:sz w:val="22"/>
          <w:szCs w:val="22"/>
        </w:rPr>
        <w:t xml:space="preserve">Unit I </w:t>
      </w:r>
      <w:proofErr w:type="gramStart"/>
      <w:r>
        <w:rPr>
          <w:rFonts w:ascii="Adani Regular" w:hAnsi="Adani Regular" w:cs="Arial"/>
          <w:sz w:val="22"/>
          <w:szCs w:val="22"/>
        </w:rPr>
        <w:t>has</w:t>
      </w:r>
      <w:proofErr w:type="gramEnd"/>
      <w:r>
        <w:rPr>
          <w:rFonts w:ascii="Adani Regular" w:hAnsi="Adani Regular" w:cs="Arial"/>
          <w:sz w:val="22"/>
          <w:szCs w:val="22"/>
        </w:rPr>
        <w:t xml:space="preserve"> achieved COD on 6</w:t>
      </w:r>
      <w:r w:rsidRPr="009E1C00">
        <w:rPr>
          <w:rFonts w:ascii="Adani Regular" w:hAnsi="Adani Regular" w:cs="Arial"/>
          <w:sz w:val="22"/>
          <w:szCs w:val="22"/>
          <w:vertAlign w:val="superscript"/>
        </w:rPr>
        <w:t>th</w:t>
      </w:r>
      <w:r>
        <w:rPr>
          <w:rFonts w:ascii="Adani Regular" w:hAnsi="Adani Regular" w:cs="Arial"/>
          <w:sz w:val="22"/>
          <w:szCs w:val="22"/>
        </w:rPr>
        <w:t xml:space="preserve"> April, 2023 &amp; Unit II has achieved COD as on 26</w:t>
      </w:r>
      <w:r w:rsidRPr="009E1C00">
        <w:rPr>
          <w:rFonts w:ascii="Adani Regular" w:hAnsi="Adani Regular" w:cs="Arial"/>
          <w:sz w:val="22"/>
          <w:szCs w:val="22"/>
          <w:vertAlign w:val="superscript"/>
        </w:rPr>
        <w:t>th</w:t>
      </w:r>
      <w:r>
        <w:rPr>
          <w:rFonts w:ascii="Adani Regular" w:hAnsi="Adani Regular" w:cs="Arial"/>
          <w:sz w:val="22"/>
          <w:szCs w:val="22"/>
        </w:rPr>
        <w:t xml:space="preserve"> June, 2023.</w:t>
      </w:r>
    </w:p>
    <w:p w14:paraId="541D5EC8" w14:textId="77777777" w:rsidR="00C34708" w:rsidRPr="00C2083D" w:rsidRDefault="00C34708" w:rsidP="00997F71">
      <w:pPr>
        <w:tabs>
          <w:tab w:val="left" w:pos="709"/>
        </w:tabs>
        <w:ind w:right="-97"/>
        <w:jc w:val="both"/>
        <w:rPr>
          <w:rFonts w:ascii="Adani Regular" w:hAnsi="Adani Regular"/>
          <w:sz w:val="22"/>
          <w:szCs w:val="22"/>
        </w:rPr>
      </w:pPr>
    </w:p>
    <w:p w14:paraId="2D4D9F3E" w14:textId="77777777" w:rsidR="00840A23" w:rsidRPr="00CD752E" w:rsidRDefault="00840A23" w:rsidP="00CD752E">
      <w:pPr>
        <w:spacing w:after="160" w:line="276" w:lineRule="auto"/>
        <w:rPr>
          <w:rFonts w:ascii="Adani Regular" w:hAnsi="Adani Regular"/>
          <w:b/>
          <w:sz w:val="22"/>
          <w:szCs w:val="22"/>
          <w:u w:val="single"/>
        </w:rPr>
      </w:pPr>
      <w:r w:rsidRPr="00CD752E">
        <w:rPr>
          <w:rFonts w:ascii="Adani Regular" w:hAnsi="Adani Regular"/>
          <w:b/>
          <w:sz w:val="22"/>
          <w:szCs w:val="22"/>
          <w:u w:val="single"/>
        </w:rPr>
        <w:t xml:space="preserve">Key </w:t>
      </w:r>
      <w:r w:rsidR="00DC1894" w:rsidRPr="00CD752E">
        <w:rPr>
          <w:rFonts w:ascii="Adani Regular" w:hAnsi="Adani Regular"/>
          <w:b/>
          <w:sz w:val="22"/>
          <w:szCs w:val="22"/>
          <w:u w:val="single"/>
        </w:rPr>
        <w:t xml:space="preserve">Project </w:t>
      </w:r>
      <w:r w:rsidRPr="00CD752E">
        <w:rPr>
          <w:rFonts w:ascii="Adani Regular" w:hAnsi="Adani Regular"/>
          <w:b/>
          <w:sz w:val="22"/>
          <w:szCs w:val="22"/>
          <w:u w:val="single"/>
        </w:rPr>
        <w:t>Agreement/</w:t>
      </w:r>
      <w:r w:rsidR="00DC1894" w:rsidRPr="00CD752E">
        <w:rPr>
          <w:rFonts w:ascii="Adani Regular" w:hAnsi="Adani Regular"/>
          <w:b/>
          <w:sz w:val="22"/>
          <w:szCs w:val="22"/>
          <w:u w:val="single"/>
        </w:rPr>
        <w:t>Contracts:</w:t>
      </w:r>
    </w:p>
    <w:p w14:paraId="4842CA13" w14:textId="0B7B5139" w:rsidR="00A83F2D" w:rsidRPr="00CD752E" w:rsidRDefault="00A83F2D" w:rsidP="004819CB">
      <w:pPr>
        <w:pStyle w:val="Heading2"/>
        <w:numPr>
          <w:ilvl w:val="0"/>
          <w:numId w:val="7"/>
        </w:numPr>
        <w:spacing w:before="120" w:line="276" w:lineRule="auto"/>
        <w:rPr>
          <w:rFonts w:ascii="Adani Regular" w:hAnsi="Adani Regular" w:cs="Arial"/>
          <w:color w:val="auto"/>
          <w:sz w:val="22"/>
          <w:szCs w:val="22"/>
          <w:u w:val="none"/>
        </w:rPr>
      </w:pPr>
      <w:r w:rsidRPr="00CD752E">
        <w:rPr>
          <w:rFonts w:ascii="Adani Regular" w:hAnsi="Adani Regular" w:cs="Arial"/>
          <w:color w:val="auto"/>
          <w:sz w:val="22"/>
          <w:szCs w:val="22"/>
          <w:u w:val="none"/>
        </w:rPr>
        <w:t>Power Purchase Agreement/Off-take Arrangements</w:t>
      </w:r>
    </w:p>
    <w:p w14:paraId="454F1245"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 xml:space="preserve">Power Purchase Agreement has been entered between Adani Power (Jharkhand) Limited (APJL) and Bangladesh Power Development Board (BPDB) </w:t>
      </w:r>
      <w:r w:rsidRPr="00CD752E">
        <w:rPr>
          <w:rFonts w:ascii="Adani Regular" w:hAnsi="Adani Regular" w:cs="Arial"/>
          <w:b/>
          <w:sz w:val="22"/>
          <w:szCs w:val="22"/>
        </w:rPr>
        <w:t>on November 5, 2017</w:t>
      </w:r>
      <w:r w:rsidRPr="00CD752E">
        <w:rPr>
          <w:rFonts w:ascii="Adani Regular" w:hAnsi="Adani Regular" w:cs="Arial"/>
          <w:sz w:val="22"/>
          <w:szCs w:val="22"/>
        </w:rPr>
        <w:t>. BPDB, which is a public utility, engaged in the generation, transmission and distribution and sale of electricity in the People’s Republic of Bangladesh has entered into this PPA as a power purchaser whereas APJL which is implementing the Power Project has entered into this PPA as a seller to sell the net electrical energy from the Project to BPDB. This PPA sets out the terms and conditions for the sale of power from the Project. The same are given below</w:t>
      </w:r>
    </w:p>
    <w:p w14:paraId="057CB2F8" w14:textId="77777777" w:rsidR="00A83F2D" w:rsidRPr="00CD752E" w:rsidRDefault="00A83F2D" w:rsidP="004819CB">
      <w:pPr>
        <w:widowControl w:val="0"/>
        <w:numPr>
          <w:ilvl w:val="0"/>
          <w:numId w:val="4"/>
        </w:numPr>
        <w:autoSpaceDE w:val="0"/>
        <w:autoSpaceDN w:val="0"/>
        <w:adjustRightInd w:val="0"/>
        <w:spacing w:before="120" w:after="120" w:line="276" w:lineRule="auto"/>
        <w:jc w:val="both"/>
        <w:rPr>
          <w:rFonts w:ascii="Adani Regular" w:hAnsi="Adani Regular" w:cs="Arial"/>
          <w:b/>
          <w:sz w:val="22"/>
          <w:szCs w:val="22"/>
        </w:rPr>
      </w:pPr>
      <w:r w:rsidRPr="00CD752E">
        <w:rPr>
          <w:rFonts w:ascii="Adani Regular" w:hAnsi="Adani Regular" w:cs="Arial"/>
          <w:b/>
          <w:sz w:val="22"/>
          <w:szCs w:val="22"/>
        </w:rPr>
        <w:t>Tenure of the PPA:</w:t>
      </w:r>
    </w:p>
    <w:p w14:paraId="1BEA75AA"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 xml:space="preserve">The PPA has been executed for a period of 25 years from the Commercial Operations Date (COD) of the two units of the Project. </w:t>
      </w:r>
    </w:p>
    <w:p w14:paraId="1CC310FE" w14:textId="77777777" w:rsidR="00A83F2D" w:rsidRPr="00CD752E" w:rsidRDefault="00A83F2D" w:rsidP="004819CB">
      <w:pPr>
        <w:widowControl w:val="0"/>
        <w:numPr>
          <w:ilvl w:val="0"/>
          <w:numId w:val="4"/>
        </w:numPr>
        <w:autoSpaceDE w:val="0"/>
        <w:autoSpaceDN w:val="0"/>
        <w:adjustRightInd w:val="0"/>
        <w:spacing w:before="120" w:after="120" w:line="276" w:lineRule="auto"/>
        <w:jc w:val="both"/>
        <w:rPr>
          <w:rFonts w:ascii="Adani Regular" w:hAnsi="Adani Regular" w:cs="Arial"/>
          <w:b/>
          <w:sz w:val="22"/>
          <w:szCs w:val="22"/>
        </w:rPr>
      </w:pPr>
      <w:r w:rsidRPr="00CD752E">
        <w:rPr>
          <w:rFonts w:ascii="Adani Regular" w:hAnsi="Adani Regular" w:cs="Arial"/>
          <w:b/>
          <w:sz w:val="22"/>
          <w:szCs w:val="22"/>
        </w:rPr>
        <w:t>Minimum Offtake Commitment:</w:t>
      </w:r>
    </w:p>
    <w:p w14:paraId="026FA9C8"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The PPA provides for a minimum offtake commitment by BPDB to offtake and pay for power corresponding to 34% of the net power capacity from the power plant, every year. In case BPDB is unable to fulfil this, the PPA provides for reimbursement to APJL by BPDB, all penalties, damages or compensation that APJL is liable for, under its coal supply agreements including coal transportation and port charges.</w:t>
      </w:r>
    </w:p>
    <w:p w14:paraId="10D11867"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In cases of lower offtake by BPDB as compared to projected annual energy offtake, subject to plant availability, APJL is entitled for reimbursement by BPDB towards amounts payable by APJL to its coal suppliers under the Coal Supply Agreements.</w:t>
      </w:r>
    </w:p>
    <w:p w14:paraId="40A1EA7B"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 xml:space="preserve">The </w:t>
      </w:r>
      <w:proofErr w:type="gramStart"/>
      <w:r w:rsidRPr="00CD752E">
        <w:rPr>
          <w:rFonts w:ascii="Adani Regular" w:hAnsi="Adani Regular" w:cs="Arial"/>
          <w:sz w:val="22"/>
          <w:szCs w:val="22"/>
        </w:rPr>
        <w:t>two part</w:t>
      </w:r>
      <w:proofErr w:type="gramEnd"/>
      <w:r w:rsidRPr="00CD752E">
        <w:rPr>
          <w:rFonts w:ascii="Adani Regular" w:hAnsi="Adani Regular" w:cs="Arial"/>
          <w:sz w:val="22"/>
          <w:szCs w:val="22"/>
        </w:rPr>
        <w:t xml:space="preserve"> tariff structure ensures that capacity payments are linked only with dependable capacity instead of actual energy output. This mechanism mitigates any repayment risks associated with lesser or no offtake of power by BPDB.</w:t>
      </w:r>
    </w:p>
    <w:p w14:paraId="1EAD50F8" w14:textId="77777777" w:rsidR="00A83F2D" w:rsidRPr="00CD752E" w:rsidRDefault="00A83F2D" w:rsidP="004819CB">
      <w:pPr>
        <w:widowControl w:val="0"/>
        <w:numPr>
          <w:ilvl w:val="0"/>
          <w:numId w:val="4"/>
        </w:numPr>
        <w:autoSpaceDE w:val="0"/>
        <w:autoSpaceDN w:val="0"/>
        <w:adjustRightInd w:val="0"/>
        <w:spacing w:before="120" w:after="120" w:line="276" w:lineRule="auto"/>
        <w:jc w:val="both"/>
        <w:rPr>
          <w:rFonts w:ascii="Adani Regular" w:hAnsi="Adani Regular" w:cs="Arial"/>
          <w:sz w:val="22"/>
          <w:szCs w:val="22"/>
        </w:rPr>
      </w:pPr>
      <w:r w:rsidRPr="00CD752E">
        <w:rPr>
          <w:rFonts w:ascii="Adani Regular" w:hAnsi="Adani Regular" w:cs="Arial"/>
          <w:b/>
          <w:sz w:val="22"/>
          <w:szCs w:val="22"/>
        </w:rPr>
        <w:t>Interconnection and Transmission Facilities:</w:t>
      </w:r>
    </w:p>
    <w:p w14:paraId="7A07FD3A"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lastRenderedPageBreak/>
        <w:t xml:space="preserve">The IA lays down the responsibility of APJL and PGCB in respect of the evacuation system for the power project. </w:t>
      </w:r>
    </w:p>
    <w:p w14:paraId="1F8A90AF" w14:textId="77777777" w:rsidR="00A83F2D" w:rsidRPr="00CD752E" w:rsidRDefault="00A83F2D" w:rsidP="00CD752E">
      <w:pPr>
        <w:spacing w:before="120" w:after="120" w:line="276" w:lineRule="auto"/>
        <w:jc w:val="both"/>
        <w:rPr>
          <w:rFonts w:ascii="Adani Regular" w:hAnsi="Adani Regular" w:cs="Times"/>
          <w:sz w:val="22"/>
          <w:szCs w:val="22"/>
          <w:lang w:val="en-IN" w:eastAsia="en-IN"/>
        </w:rPr>
      </w:pPr>
      <w:r w:rsidRPr="00CD752E">
        <w:rPr>
          <w:rFonts w:ascii="Adani Regular" w:hAnsi="Adani Regular" w:cs="Arial"/>
          <w:sz w:val="22"/>
          <w:szCs w:val="22"/>
        </w:rPr>
        <w:t xml:space="preserve">As per IA, the evacuation of electric power generated by the Facility will be through a new substation and 400 kV double circuit transmission line (referred as </w:t>
      </w:r>
      <w:r w:rsidRPr="00CD752E">
        <w:rPr>
          <w:rFonts w:ascii="Adani Regular" w:hAnsi="Adani Regular" w:cs="Times"/>
          <w:b/>
          <w:bCs/>
          <w:sz w:val="22"/>
          <w:szCs w:val="22"/>
          <w:lang w:val="en-IN" w:eastAsia="en-IN"/>
        </w:rPr>
        <w:t xml:space="preserve">Interconnection </w:t>
      </w:r>
      <w:proofErr w:type="gramStart"/>
      <w:r w:rsidRPr="00CD752E">
        <w:rPr>
          <w:rFonts w:ascii="Adani Regular" w:hAnsi="Adani Regular" w:cs="Times"/>
          <w:b/>
          <w:bCs/>
          <w:sz w:val="22"/>
          <w:szCs w:val="22"/>
          <w:lang w:val="en-IN" w:eastAsia="en-IN"/>
        </w:rPr>
        <w:t>And</w:t>
      </w:r>
      <w:proofErr w:type="gramEnd"/>
      <w:r w:rsidRPr="00CD752E">
        <w:rPr>
          <w:rFonts w:ascii="Adani Regular" w:hAnsi="Adani Regular" w:cs="Times"/>
          <w:b/>
          <w:bCs/>
          <w:sz w:val="22"/>
          <w:szCs w:val="22"/>
          <w:lang w:val="en-IN" w:eastAsia="en-IN"/>
        </w:rPr>
        <w:t xml:space="preserve"> Transmission Facilities</w:t>
      </w:r>
      <w:r w:rsidRPr="00CD752E">
        <w:rPr>
          <w:rFonts w:ascii="Adani Regular" w:hAnsi="Adani Regular" w:cs="Arial"/>
          <w:sz w:val="22"/>
          <w:szCs w:val="22"/>
        </w:rPr>
        <w:t xml:space="preserve"> "ITF" in IA) to be constructed and owned by PGCB from the Bangladesh side of the Indo Bangladesh border, connecting to the </w:t>
      </w:r>
      <w:r w:rsidRPr="00CD752E">
        <w:rPr>
          <w:rFonts w:ascii="Adani Regular" w:hAnsi="Adani Regular" w:cs="Arial"/>
          <w:b/>
          <w:sz w:val="22"/>
          <w:szCs w:val="22"/>
        </w:rPr>
        <w:t>Dedicated Transmission System</w:t>
      </w:r>
      <w:r w:rsidRPr="00CD752E">
        <w:rPr>
          <w:rFonts w:ascii="Adani Regular" w:hAnsi="Adani Regular" w:cs="Arial"/>
          <w:sz w:val="22"/>
          <w:szCs w:val="22"/>
        </w:rPr>
        <w:t xml:space="preserve">.  </w:t>
      </w:r>
    </w:p>
    <w:p w14:paraId="21DD51BB" w14:textId="77777777" w:rsidR="00A83F2D" w:rsidRPr="00CD752E" w:rsidRDefault="00A83F2D" w:rsidP="00CD752E">
      <w:pPr>
        <w:spacing w:before="120" w:after="120" w:line="276" w:lineRule="auto"/>
        <w:jc w:val="both"/>
        <w:rPr>
          <w:rFonts w:ascii="Adani Regular" w:hAnsi="Adani Regular" w:cs="Times"/>
          <w:sz w:val="22"/>
          <w:szCs w:val="22"/>
          <w:lang w:val="en-IN" w:eastAsia="en-IN"/>
        </w:rPr>
      </w:pPr>
      <w:r w:rsidRPr="00CD752E">
        <w:rPr>
          <w:rFonts w:ascii="Adani Regular" w:hAnsi="Adani Regular" w:cs="Times"/>
          <w:sz w:val="22"/>
          <w:szCs w:val="22"/>
          <w:lang w:val="en-IN" w:eastAsia="en-IN"/>
        </w:rPr>
        <w:t xml:space="preserve">Dedicated Transmission System means the 400 kV double circuit quad conductor dedicated transmission system for </w:t>
      </w:r>
      <w:proofErr w:type="gramStart"/>
      <w:r w:rsidRPr="00CD752E">
        <w:rPr>
          <w:rFonts w:ascii="Adani Regular" w:hAnsi="Adani Regular" w:cs="Times"/>
          <w:sz w:val="22"/>
          <w:szCs w:val="22"/>
          <w:lang w:val="en-IN" w:eastAsia="en-IN"/>
        </w:rPr>
        <w:t>point to point</w:t>
      </w:r>
      <w:proofErr w:type="gramEnd"/>
      <w:r w:rsidRPr="00CD752E">
        <w:rPr>
          <w:rFonts w:ascii="Adani Regular" w:hAnsi="Adani Regular" w:cs="Times"/>
          <w:sz w:val="22"/>
          <w:szCs w:val="22"/>
          <w:lang w:val="en-IN" w:eastAsia="en-IN"/>
        </w:rPr>
        <w:t xml:space="preserve"> transmission of electricity from the Facility up to the Indian side of Indo-Bangladesh border. The same is of ~</w:t>
      </w:r>
      <w:r w:rsidRPr="00CD752E">
        <w:rPr>
          <w:rFonts w:ascii="Adani Regular" w:hAnsi="Adani Regular"/>
          <w:sz w:val="22"/>
          <w:szCs w:val="22"/>
        </w:rPr>
        <w:t xml:space="preserve">106 km and would be </w:t>
      </w:r>
      <w:r w:rsidRPr="00CD752E">
        <w:rPr>
          <w:rFonts w:ascii="Adani Regular" w:hAnsi="Adani Regular" w:cs="Times"/>
          <w:sz w:val="22"/>
          <w:szCs w:val="22"/>
          <w:lang w:val="en-IN" w:eastAsia="en-IN"/>
        </w:rPr>
        <w:t xml:space="preserve">owned, operated and maintained by the Company. </w:t>
      </w:r>
    </w:p>
    <w:p w14:paraId="429549B3" w14:textId="77777777" w:rsidR="00A83F2D" w:rsidRPr="00CD752E" w:rsidRDefault="00A83F2D" w:rsidP="00CD752E">
      <w:pPr>
        <w:spacing w:before="120" w:after="120" w:line="276" w:lineRule="auto"/>
        <w:jc w:val="both"/>
        <w:rPr>
          <w:rFonts w:ascii="Adani Regular" w:hAnsi="Adani Regular" w:cs="Times"/>
          <w:sz w:val="22"/>
          <w:szCs w:val="22"/>
          <w:lang w:val="en-IN" w:eastAsia="en-IN"/>
        </w:rPr>
      </w:pPr>
      <w:r w:rsidRPr="00CD752E">
        <w:rPr>
          <w:rFonts w:ascii="Adani Regular" w:hAnsi="Adani Regular" w:cs="Times"/>
          <w:sz w:val="22"/>
          <w:szCs w:val="22"/>
          <w:lang w:val="en-IN" w:eastAsia="en-IN"/>
        </w:rPr>
        <w:t>Besides, the Company shall also construct 400 kV switchyard for evacuation of power with the provision for termination of two 400 kV circuit (defined as the "</w:t>
      </w:r>
      <w:r w:rsidRPr="00CD752E">
        <w:rPr>
          <w:rFonts w:ascii="Adani Regular" w:hAnsi="Adani Regular" w:cs="Times"/>
          <w:b/>
          <w:sz w:val="22"/>
          <w:szCs w:val="22"/>
          <w:lang w:val="en-IN" w:eastAsia="en-IN"/>
        </w:rPr>
        <w:t>Electrical Interconnection Facility</w:t>
      </w:r>
      <w:r w:rsidRPr="00CD752E">
        <w:rPr>
          <w:rFonts w:ascii="Adani Regular" w:hAnsi="Adani Regular" w:cs="Times"/>
          <w:sz w:val="22"/>
          <w:szCs w:val="22"/>
          <w:lang w:val="en-IN" w:eastAsia="en-IN"/>
        </w:rPr>
        <w:t>"). This 400 kV switchyard line breaker, Current Transformer, Potential Transformer and other necessary equipment and associated relays, controls, protection, communication and instrument system, will be operated and maintained by the Company. The Company will install, maintain &amp; operate separate synchronizing breaker for each Unit.</w:t>
      </w:r>
    </w:p>
    <w:p w14:paraId="12DB1A3D" w14:textId="77777777" w:rsidR="00A83F2D" w:rsidRPr="00CD752E" w:rsidRDefault="00A83F2D" w:rsidP="004819CB">
      <w:pPr>
        <w:widowControl w:val="0"/>
        <w:numPr>
          <w:ilvl w:val="0"/>
          <w:numId w:val="4"/>
        </w:numPr>
        <w:autoSpaceDE w:val="0"/>
        <w:autoSpaceDN w:val="0"/>
        <w:adjustRightInd w:val="0"/>
        <w:spacing w:before="120" w:after="120" w:line="276" w:lineRule="auto"/>
        <w:jc w:val="both"/>
        <w:rPr>
          <w:rFonts w:ascii="Adani Regular" w:hAnsi="Adani Regular" w:cs="Arial"/>
          <w:sz w:val="22"/>
          <w:szCs w:val="22"/>
        </w:rPr>
      </w:pPr>
      <w:r w:rsidRPr="00CD752E">
        <w:rPr>
          <w:rFonts w:ascii="Adani Regular" w:hAnsi="Adani Regular" w:cs="Arial"/>
          <w:b/>
          <w:sz w:val="22"/>
          <w:szCs w:val="22"/>
        </w:rPr>
        <w:t>Tariff Provisions:</w:t>
      </w:r>
    </w:p>
    <w:p w14:paraId="7A8A5519" w14:textId="77777777" w:rsidR="00A83F2D" w:rsidRPr="00CD752E" w:rsidRDefault="00A83F2D" w:rsidP="00CD752E">
      <w:pPr>
        <w:spacing w:before="120" w:after="120" w:line="276" w:lineRule="auto"/>
        <w:ind w:left="-567"/>
        <w:jc w:val="right"/>
        <w:rPr>
          <w:rFonts w:ascii="Adani Regular" w:hAnsi="Adani Regular" w:cs="Arial"/>
          <w:sz w:val="22"/>
          <w:szCs w:val="22"/>
        </w:rPr>
      </w:pPr>
      <w:r w:rsidRPr="00CD752E">
        <w:rPr>
          <w:rFonts w:ascii="Adani Regular" w:hAnsi="Adani Regular" w:cs="Arial"/>
          <w:noProof/>
          <w:sz w:val="22"/>
          <w:szCs w:val="22"/>
        </w:rPr>
        <w:drawing>
          <wp:inline distT="0" distB="0" distL="0" distR="0" wp14:anchorId="34B2CEA0" wp14:editId="4AADA205">
            <wp:extent cx="5943600" cy="3285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285490"/>
                    </a:xfrm>
                    <a:prstGeom prst="rect">
                      <a:avLst/>
                    </a:prstGeom>
                    <a:noFill/>
                  </pic:spPr>
                </pic:pic>
              </a:graphicData>
            </a:graphic>
          </wp:inline>
        </w:drawing>
      </w:r>
    </w:p>
    <w:p w14:paraId="27EF901A"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 xml:space="preserve">The agreed tariff in the PPA provides for a fixed schedule for the fixed components of tariff for the tenure of the contract while providing for energy payments for the actual fuel consumed and variable operations and maintenance costs. The PPA provides for a </w:t>
      </w:r>
      <w:proofErr w:type="gramStart"/>
      <w:r w:rsidRPr="00CD752E">
        <w:rPr>
          <w:rFonts w:ascii="Adani Regular" w:hAnsi="Adani Regular" w:cs="Arial"/>
          <w:sz w:val="22"/>
          <w:szCs w:val="22"/>
        </w:rPr>
        <w:t>two part</w:t>
      </w:r>
      <w:proofErr w:type="gramEnd"/>
      <w:r w:rsidRPr="00CD752E">
        <w:rPr>
          <w:rFonts w:ascii="Adani Regular" w:hAnsi="Adani Regular" w:cs="Arial"/>
          <w:sz w:val="22"/>
          <w:szCs w:val="22"/>
        </w:rPr>
        <w:t xml:space="preserve"> tariff comprising of a Reference Capacity Price, which is applied on Dependable Capacity of the plant and a Reference Energy Price, which is applied on the Net Energy Output for the period of computation. </w:t>
      </w:r>
    </w:p>
    <w:p w14:paraId="2C77FE34"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lastRenderedPageBreak/>
        <w:t>The Reference Capacity Price comprises of a quoted Reference Non-Escalable Capacity Price in USD/kWh Month and a Reference Escalable Capacity Price in USD/kWh Month. The Reference Energy Price comprises of a quoted Reference Variable Operations and Maintenance Price in US cents/kWh and a Reference Fuel Price. The Reference Escalable Capacity Price and the Reference Variable Operations &amp; Maintenance Price has escalation indexed to US CPI.</w:t>
      </w:r>
    </w:p>
    <w:p w14:paraId="125FD2AE"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The Fuel Price is computed on the Coal Price in USD per Metric Ton, based on a combination of indices adjusted for escalations, and Quantity of Coal Consumed by the power plant in kg based on Reference Heat Rates as applicable during the month. Some key features of fuel cost pass through are as follows:</w:t>
      </w:r>
    </w:p>
    <w:p w14:paraId="01222320" w14:textId="77777777" w:rsidR="00A83F2D" w:rsidRPr="00CD752E" w:rsidRDefault="00A83F2D" w:rsidP="004819CB">
      <w:pPr>
        <w:widowControl w:val="0"/>
        <w:numPr>
          <w:ilvl w:val="0"/>
          <w:numId w:val="5"/>
        </w:numPr>
        <w:autoSpaceDE w:val="0"/>
        <w:autoSpaceDN w:val="0"/>
        <w:adjustRightInd w:val="0"/>
        <w:spacing w:before="120" w:after="120" w:line="276" w:lineRule="auto"/>
        <w:jc w:val="both"/>
        <w:rPr>
          <w:rFonts w:ascii="Adani Regular" w:hAnsi="Adani Regular" w:cs="Arial"/>
          <w:sz w:val="22"/>
          <w:szCs w:val="22"/>
        </w:rPr>
      </w:pPr>
      <w:r w:rsidRPr="00CD752E">
        <w:rPr>
          <w:rFonts w:ascii="Adani Regular" w:hAnsi="Adani Regular" w:cs="Arial"/>
          <w:sz w:val="22"/>
          <w:szCs w:val="22"/>
        </w:rPr>
        <w:t>FOB coal price is the average of Indonesian and Australian coal index for GCV derived for 4600 kcal/kg.</w:t>
      </w:r>
    </w:p>
    <w:p w14:paraId="15AA21CC" w14:textId="77777777" w:rsidR="00A83F2D" w:rsidRPr="00CD752E" w:rsidRDefault="00A83F2D" w:rsidP="004819CB">
      <w:pPr>
        <w:widowControl w:val="0"/>
        <w:numPr>
          <w:ilvl w:val="0"/>
          <w:numId w:val="5"/>
        </w:numPr>
        <w:autoSpaceDE w:val="0"/>
        <w:autoSpaceDN w:val="0"/>
        <w:adjustRightInd w:val="0"/>
        <w:spacing w:before="120" w:after="120" w:line="276" w:lineRule="auto"/>
        <w:jc w:val="both"/>
        <w:rPr>
          <w:rFonts w:ascii="Adani Regular" w:hAnsi="Adani Regular" w:cs="Arial"/>
          <w:sz w:val="22"/>
          <w:szCs w:val="22"/>
        </w:rPr>
      </w:pPr>
      <w:r w:rsidRPr="00CD752E">
        <w:rPr>
          <w:rFonts w:ascii="Adani Regular" w:hAnsi="Adani Regular" w:cs="Arial"/>
          <w:sz w:val="22"/>
          <w:szCs w:val="22"/>
        </w:rPr>
        <w:t>Ocean freight adjusted to Baltic Dry Index and Singapore Bunker.</w:t>
      </w:r>
    </w:p>
    <w:p w14:paraId="3ADF582B" w14:textId="77777777" w:rsidR="00A83F2D" w:rsidRPr="00CD752E" w:rsidRDefault="00A83F2D" w:rsidP="004819CB">
      <w:pPr>
        <w:widowControl w:val="0"/>
        <w:numPr>
          <w:ilvl w:val="0"/>
          <w:numId w:val="5"/>
        </w:numPr>
        <w:autoSpaceDE w:val="0"/>
        <w:autoSpaceDN w:val="0"/>
        <w:adjustRightInd w:val="0"/>
        <w:spacing w:before="120" w:after="120" w:line="276" w:lineRule="auto"/>
        <w:jc w:val="both"/>
        <w:rPr>
          <w:rFonts w:ascii="Adani Regular" w:hAnsi="Adani Regular" w:cs="Arial"/>
          <w:sz w:val="22"/>
          <w:szCs w:val="22"/>
        </w:rPr>
      </w:pPr>
      <w:r w:rsidRPr="00CD752E">
        <w:rPr>
          <w:rFonts w:ascii="Adani Regular" w:hAnsi="Adani Regular" w:cs="Arial"/>
          <w:sz w:val="22"/>
          <w:szCs w:val="22"/>
        </w:rPr>
        <w:t>Insurance, finance and transaction charges of 1.5% are considered.</w:t>
      </w:r>
    </w:p>
    <w:p w14:paraId="25462C6C" w14:textId="77777777" w:rsidR="00A83F2D" w:rsidRPr="00CD752E" w:rsidRDefault="00A83F2D" w:rsidP="004819CB">
      <w:pPr>
        <w:widowControl w:val="0"/>
        <w:numPr>
          <w:ilvl w:val="0"/>
          <w:numId w:val="5"/>
        </w:numPr>
        <w:autoSpaceDE w:val="0"/>
        <w:autoSpaceDN w:val="0"/>
        <w:adjustRightInd w:val="0"/>
        <w:spacing w:before="120" w:after="120" w:line="276" w:lineRule="auto"/>
        <w:jc w:val="both"/>
        <w:rPr>
          <w:rFonts w:ascii="Adani Regular" w:hAnsi="Adani Regular" w:cs="Arial"/>
          <w:sz w:val="22"/>
          <w:szCs w:val="22"/>
        </w:rPr>
      </w:pPr>
      <w:r w:rsidRPr="00CD752E">
        <w:rPr>
          <w:rFonts w:ascii="Adani Regular" w:hAnsi="Adani Regular" w:cs="Arial"/>
          <w:sz w:val="22"/>
          <w:szCs w:val="22"/>
        </w:rPr>
        <w:t>Port handling charge of INR 360 per metric ton, escalated as per Wholesale Price Index (WPI) is considered.</w:t>
      </w:r>
    </w:p>
    <w:p w14:paraId="1022EF46" w14:textId="77777777" w:rsidR="00A83F2D" w:rsidRPr="00CD752E" w:rsidRDefault="00A83F2D" w:rsidP="004819CB">
      <w:pPr>
        <w:widowControl w:val="0"/>
        <w:numPr>
          <w:ilvl w:val="0"/>
          <w:numId w:val="5"/>
        </w:numPr>
        <w:autoSpaceDE w:val="0"/>
        <w:autoSpaceDN w:val="0"/>
        <w:adjustRightInd w:val="0"/>
        <w:spacing w:before="120" w:after="120" w:line="276" w:lineRule="auto"/>
        <w:jc w:val="both"/>
        <w:rPr>
          <w:rFonts w:ascii="Adani Regular" w:hAnsi="Adani Regular" w:cs="Arial"/>
          <w:sz w:val="22"/>
          <w:szCs w:val="22"/>
        </w:rPr>
      </w:pPr>
      <w:r w:rsidRPr="00CD752E">
        <w:rPr>
          <w:rFonts w:ascii="Adani Regular" w:hAnsi="Adani Regular" w:cs="Arial"/>
          <w:sz w:val="22"/>
          <w:szCs w:val="22"/>
        </w:rPr>
        <w:t>Coal handling loss of 1.10% is considered</w:t>
      </w:r>
      <w:r w:rsidRPr="00CD752E" w:rsidDel="00482014">
        <w:rPr>
          <w:rFonts w:ascii="Adani Regular" w:hAnsi="Adani Regular" w:cs="Arial"/>
          <w:sz w:val="22"/>
          <w:szCs w:val="22"/>
        </w:rPr>
        <w:t>.</w:t>
      </w:r>
    </w:p>
    <w:p w14:paraId="27420136" w14:textId="77777777" w:rsidR="00A83F2D" w:rsidRPr="00CD752E" w:rsidRDefault="00A83F2D" w:rsidP="004819CB">
      <w:pPr>
        <w:widowControl w:val="0"/>
        <w:numPr>
          <w:ilvl w:val="0"/>
          <w:numId w:val="5"/>
        </w:numPr>
        <w:autoSpaceDE w:val="0"/>
        <w:autoSpaceDN w:val="0"/>
        <w:adjustRightInd w:val="0"/>
        <w:spacing w:before="120" w:after="120" w:line="276" w:lineRule="auto"/>
        <w:jc w:val="both"/>
        <w:rPr>
          <w:rFonts w:ascii="Adani Regular" w:hAnsi="Adani Regular" w:cs="Arial"/>
          <w:sz w:val="22"/>
          <w:szCs w:val="22"/>
        </w:rPr>
      </w:pPr>
      <w:r w:rsidRPr="00CD752E">
        <w:rPr>
          <w:rFonts w:ascii="Adani Regular" w:hAnsi="Adani Regular" w:cs="Arial"/>
          <w:sz w:val="22"/>
          <w:szCs w:val="22"/>
        </w:rPr>
        <w:t>Customs duty and Railway freight as applicable is considered at actuals, prevailing at the time of Payment.</w:t>
      </w:r>
    </w:p>
    <w:p w14:paraId="2A35319C"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 xml:space="preserve">The PPA also provides for adequate protection to APJL for any variations in cost arising out of Changes in Law due to taxes and duties either in India or Bangladesh and other levies by way of supplementary invoices that can be raised on BPDB, except taxes on construction contracts during the construction period only. Further, any capital costs incurred for modifications or expansion of protective devices required by BPDB are deemed as pass through items under the PPA for which APJL shall be reimbursed. </w:t>
      </w:r>
    </w:p>
    <w:p w14:paraId="55BD01F7"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Additionally, BPDB is also obligated to reimburse APJL for any coal supply payments that result from shortfall in offtake of power by BPDB against its Projected Energy Offtake.</w:t>
      </w:r>
    </w:p>
    <w:p w14:paraId="4F0147D5"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Under the PPA, all invoices are to be raised monthly with payment terms of 30 days credit to BPDB. Any late payments are subject to Late Payment Surcharge benchmark interest rate of 1.25% per month.</w:t>
      </w:r>
    </w:p>
    <w:p w14:paraId="7F2D8DD1" w14:textId="77777777" w:rsidR="00A83F2D" w:rsidRPr="00CD752E" w:rsidRDefault="00A83F2D" w:rsidP="004819CB">
      <w:pPr>
        <w:widowControl w:val="0"/>
        <w:numPr>
          <w:ilvl w:val="0"/>
          <w:numId w:val="4"/>
        </w:numPr>
        <w:autoSpaceDE w:val="0"/>
        <w:autoSpaceDN w:val="0"/>
        <w:adjustRightInd w:val="0"/>
        <w:spacing w:before="120" w:after="120" w:line="276" w:lineRule="auto"/>
        <w:jc w:val="both"/>
        <w:rPr>
          <w:rFonts w:ascii="Adani Regular" w:hAnsi="Adani Regular" w:cs="Arial"/>
          <w:b/>
          <w:sz w:val="22"/>
          <w:szCs w:val="22"/>
        </w:rPr>
      </w:pPr>
      <w:r w:rsidRPr="00CD752E">
        <w:rPr>
          <w:rFonts w:ascii="Adani Regular" w:hAnsi="Adani Regular" w:cs="Arial"/>
          <w:b/>
          <w:sz w:val="22"/>
          <w:szCs w:val="22"/>
        </w:rPr>
        <w:t>Bangladesh Government Guarantee under the IA:</w:t>
      </w:r>
    </w:p>
    <w:p w14:paraId="11A68A28" w14:textId="5A11EFA9" w:rsidR="00A83F2D"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An irrevocable and unconditional Sovereign Guarantee from the GOB forms part of this IA which secures all payments that are due to APJL from BPDB and PGCB. Under the IA, the GOB also provides for its explicit support in obtaining and keep in vogue all clearances and permits required by the plant to remain operational.</w:t>
      </w:r>
    </w:p>
    <w:p w14:paraId="4853DC53" w14:textId="77777777" w:rsidR="00A83F2D" w:rsidRPr="00CD752E" w:rsidRDefault="00A83F2D" w:rsidP="004819CB">
      <w:pPr>
        <w:widowControl w:val="0"/>
        <w:numPr>
          <w:ilvl w:val="0"/>
          <w:numId w:val="4"/>
        </w:numPr>
        <w:autoSpaceDE w:val="0"/>
        <w:autoSpaceDN w:val="0"/>
        <w:adjustRightInd w:val="0"/>
        <w:spacing w:before="120" w:after="120" w:line="276" w:lineRule="auto"/>
        <w:jc w:val="both"/>
        <w:rPr>
          <w:rFonts w:ascii="Adani Regular" w:hAnsi="Adani Regular" w:cs="Arial"/>
          <w:sz w:val="22"/>
          <w:szCs w:val="22"/>
        </w:rPr>
      </w:pPr>
      <w:r w:rsidRPr="00CD752E">
        <w:rPr>
          <w:rFonts w:ascii="Adani Regular" w:hAnsi="Adani Regular" w:cs="Arial"/>
          <w:b/>
          <w:sz w:val="22"/>
          <w:szCs w:val="22"/>
        </w:rPr>
        <w:t>Payment Security Mechanism:</w:t>
      </w:r>
    </w:p>
    <w:p w14:paraId="54382761"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t>BPDB is obligated to maintain a BPDB Letter of Credit confirmed by a bank in India for 2 months of Capacity Payments corresponding to 80% of the Dependable Capacity and 2 months of the Fuel Payments corresponding to 65% plant load factor.</w:t>
      </w:r>
    </w:p>
    <w:p w14:paraId="094B9C2B" w14:textId="77777777" w:rsidR="00A83F2D" w:rsidRPr="00CD752E" w:rsidRDefault="00A83F2D" w:rsidP="00CD752E">
      <w:pPr>
        <w:spacing w:before="120" w:after="120" w:line="276" w:lineRule="auto"/>
        <w:jc w:val="both"/>
        <w:rPr>
          <w:rFonts w:ascii="Adani Regular" w:hAnsi="Adani Regular" w:cs="Arial"/>
          <w:sz w:val="22"/>
          <w:szCs w:val="22"/>
        </w:rPr>
      </w:pPr>
      <w:r w:rsidRPr="00CD752E">
        <w:rPr>
          <w:rFonts w:ascii="Adani Regular" w:hAnsi="Adani Regular" w:cs="Arial"/>
          <w:sz w:val="22"/>
          <w:szCs w:val="22"/>
        </w:rPr>
        <w:lastRenderedPageBreak/>
        <w:t>Any payments made by BPDB under the PPA has a clear priority of appropriation, firstly towards Late Payment Surcharges, secondly towards amounts outstanding in previous invoices and lastly towards current invoices.</w:t>
      </w:r>
    </w:p>
    <w:p w14:paraId="73DFE5CA" w14:textId="6C91F877" w:rsidR="00892EEF" w:rsidRDefault="00892EEF" w:rsidP="00CD752E">
      <w:pPr>
        <w:autoSpaceDE w:val="0"/>
        <w:autoSpaceDN w:val="0"/>
        <w:adjustRightInd w:val="0"/>
        <w:spacing w:line="276" w:lineRule="auto"/>
        <w:ind w:right="-97"/>
        <w:jc w:val="both"/>
        <w:rPr>
          <w:rFonts w:ascii="Adani Regular" w:hAnsi="Adani Regular"/>
          <w:sz w:val="22"/>
          <w:szCs w:val="22"/>
        </w:rPr>
      </w:pPr>
    </w:p>
    <w:p w14:paraId="36F5E5A4" w14:textId="12779A86" w:rsidR="00D11508" w:rsidRDefault="00D11508" w:rsidP="00CD752E">
      <w:pPr>
        <w:autoSpaceDE w:val="0"/>
        <w:autoSpaceDN w:val="0"/>
        <w:adjustRightInd w:val="0"/>
        <w:spacing w:line="276" w:lineRule="auto"/>
        <w:ind w:right="-97"/>
        <w:jc w:val="both"/>
        <w:rPr>
          <w:rFonts w:ascii="Adani Regular" w:hAnsi="Adani Regular"/>
          <w:sz w:val="22"/>
          <w:szCs w:val="22"/>
        </w:rPr>
      </w:pPr>
    </w:p>
    <w:p w14:paraId="116FC745" w14:textId="77777777" w:rsidR="00D11508" w:rsidRPr="00CD752E" w:rsidRDefault="00D11508" w:rsidP="00CD752E">
      <w:pPr>
        <w:autoSpaceDE w:val="0"/>
        <w:autoSpaceDN w:val="0"/>
        <w:adjustRightInd w:val="0"/>
        <w:spacing w:line="276" w:lineRule="auto"/>
        <w:ind w:right="-97"/>
        <w:jc w:val="both"/>
        <w:rPr>
          <w:rFonts w:ascii="Adani Regular" w:hAnsi="Adani Regular"/>
          <w:sz w:val="22"/>
          <w:szCs w:val="22"/>
        </w:rPr>
      </w:pPr>
    </w:p>
    <w:p w14:paraId="6F7F7203" w14:textId="08E2871B" w:rsidR="00753E7A" w:rsidRPr="00CD752E" w:rsidRDefault="00DC1894" w:rsidP="004819CB">
      <w:pPr>
        <w:pStyle w:val="ListParagraph"/>
        <w:numPr>
          <w:ilvl w:val="0"/>
          <w:numId w:val="6"/>
        </w:numPr>
        <w:autoSpaceDE w:val="0"/>
        <w:autoSpaceDN w:val="0"/>
        <w:adjustRightInd w:val="0"/>
        <w:spacing w:line="276" w:lineRule="auto"/>
        <w:ind w:right="-97"/>
        <w:jc w:val="both"/>
        <w:rPr>
          <w:rFonts w:ascii="Adani Regular" w:eastAsia="Calibri" w:hAnsi="Adani Regular" w:cs="Arial"/>
          <w:b/>
          <w:sz w:val="22"/>
          <w:szCs w:val="22"/>
        </w:rPr>
      </w:pPr>
      <w:r w:rsidRPr="00CD752E">
        <w:rPr>
          <w:rFonts w:ascii="Adani Regular" w:eastAsia="Calibri" w:hAnsi="Adani Regular" w:cs="Arial"/>
          <w:b/>
          <w:sz w:val="22"/>
          <w:szCs w:val="22"/>
        </w:rPr>
        <w:t>Fuel</w:t>
      </w:r>
      <w:r w:rsidRPr="00CD752E">
        <w:rPr>
          <w:rFonts w:ascii="Adani Regular" w:eastAsia="Calibri" w:hAnsi="Adani Regular" w:cs="Arial"/>
          <w:b/>
          <w:sz w:val="22"/>
          <w:szCs w:val="22"/>
          <w:lang w:val="en-US"/>
        </w:rPr>
        <w:t>/Coal</w:t>
      </w:r>
      <w:r w:rsidRPr="00CD752E">
        <w:rPr>
          <w:rFonts w:ascii="Adani Regular" w:eastAsia="Calibri" w:hAnsi="Adani Regular" w:cs="Arial"/>
          <w:b/>
          <w:sz w:val="22"/>
          <w:szCs w:val="22"/>
        </w:rPr>
        <w:t xml:space="preserve"> arrangement</w:t>
      </w:r>
      <w:r w:rsidR="008D3F2B" w:rsidRPr="00CD752E">
        <w:rPr>
          <w:rFonts w:ascii="Adani Regular" w:eastAsia="Calibri" w:hAnsi="Adani Regular" w:cs="Arial"/>
          <w:b/>
          <w:sz w:val="22"/>
          <w:szCs w:val="22"/>
          <w:lang w:val="en-US"/>
        </w:rPr>
        <w:t>:</w:t>
      </w:r>
    </w:p>
    <w:p w14:paraId="5D1FEB9B" w14:textId="266FA73F" w:rsidR="000C0806" w:rsidRPr="00CD752E" w:rsidRDefault="00753E7A"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The Project is designed to be operated on imported coal with a GCV in the range of 3,500 - 5,000 kcal/kg. Estimated annual coal requirement at 85% PLF (GCV of 3,500-5,000 kcal/kg) will be 7 to 9 million metric </w:t>
      </w:r>
      <w:proofErr w:type="spellStart"/>
      <w:r w:rsidRPr="00CD752E">
        <w:rPr>
          <w:rFonts w:ascii="Adani Regular" w:hAnsi="Adani Regular"/>
          <w:sz w:val="22"/>
          <w:szCs w:val="22"/>
        </w:rPr>
        <w:t>tonnes</w:t>
      </w:r>
      <w:proofErr w:type="spellEnd"/>
      <w:r w:rsidRPr="00CD752E">
        <w:rPr>
          <w:rFonts w:ascii="Adani Regular" w:hAnsi="Adani Regular"/>
          <w:sz w:val="22"/>
          <w:szCs w:val="22"/>
        </w:rPr>
        <w:t xml:space="preserve"> per annum (MMTPA). Company has entered into an MoU with Adani Global PTE Ltd (AGPTE), for sourcing 7-9 MTPA of steam coal with an average GCV of 4600 kcal/kg from Indonesia/South Africa/Australia and supply of such coal at Indian Port on CIF basis. AGPTE is a Singapore based international coal supplier, with impeccable credentials in the business of procurement and supply of coal. AGPTE handles about 9 times the coal required by Godda project on an annual basis.</w:t>
      </w:r>
    </w:p>
    <w:p w14:paraId="1C9DEB23" w14:textId="77777777" w:rsidR="000643CB" w:rsidRPr="00CD752E" w:rsidRDefault="000643CB" w:rsidP="00CD752E">
      <w:pPr>
        <w:autoSpaceDE w:val="0"/>
        <w:autoSpaceDN w:val="0"/>
        <w:adjustRightInd w:val="0"/>
        <w:spacing w:line="276" w:lineRule="auto"/>
        <w:ind w:right="-97"/>
        <w:jc w:val="both"/>
        <w:rPr>
          <w:rFonts w:ascii="Adani Regular" w:hAnsi="Adani Regular"/>
          <w:sz w:val="22"/>
          <w:szCs w:val="22"/>
        </w:rPr>
      </w:pPr>
    </w:p>
    <w:p w14:paraId="715253CF" w14:textId="77777777" w:rsidR="00753E7A" w:rsidRPr="00CD752E" w:rsidRDefault="008D3F2B" w:rsidP="004819CB">
      <w:pPr>
        <w:pStyle w:val="ListParagraph"/>
        <w:numPr>
          <w:ilvl w:val="0"/>
          <w:numId w:val="6"/>
        </w:numPr>
        <w:autoSpaceDE w:val="0"/>
        <w:autoSpaceDN w:val="0"/>
        <w:adjustRightInd w:val="0"/>
        <w:spacing w:line="276" w:lineRule="auto"/>
        <w:ind w:right="-97"/>
        <w:jc w:val="both"/>
        <w:rPr>
          <w:rFonts w:ascii="Adani Regular" w:eastAsia="Calibri" w:hAnsi="Adani Regular" w:cs="Arial"/>
          <w:b/>
          <w:sz w:val="22"/>
          <w:szCs w:val="22"/>
        </w:rPr>
      </w:pPr>
      <w:r w:rsidRPr="00CD752E">
        <w:rPr>
          <w:rFonts w:ascii="Adani Regular" w:eastAsia="Calibri" w:hAnsi="Adani Regular" w:cs="Arial"/>
          <w:b/>
          <w:sz w:val="22"/>
          <w:szCs w:val="22"/>
        </w:rPr>
        <w:t>Coal Transportation Logistics</w:t>
      </w:r>
      <w:r w:rsidRPr="00CD752E">
        <w:rPr>
          <w:rFonts w:ascii="Adani Regular" w:eastAsia="Calibri" w:hAnsi="Adani Regular" w:cs="Arial"/>
          <w:b/>
          <w:sz w:val="22"/>
          <w:szCs w:val="22"/>
          <w:lang w:val="en-US"/>
        </w:rPr>
        <w:t>:</w:t>
      </w:r>
    </w:p>
    <w:p w14:paraId="7E6631F1" w14:textId="77777777" w:rsidR="00753E7A" w:rsidRPr="00CD752E" w:rsidRDefault="00753E7A"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The transportation of the Coal from coal site to the Project site can be divided into two parts (1) Coal site to Dhamra Port, India (2) Dhamra Port to Project site. </w:t>
      </w:r>
    </w:p>
    <w:p w14:paraId="3196F399" w14:textId="77777777" w:rsidR="00753E7A" w:rsidRPr="00CD752E" w:rsidRDefault="00753E7A" w:rsidP="00CD752E">
      <w:pPr>
        <w:autoSpaceDE w:val="0"/>
        <w:autoSpaceDN w:val="0"/>
        <w:adjustRightInd w:val="0"/>
        <w:spacing w:line="276" w:lineRule="auto"/>
        <w:ind w:right="-97"/>
        <w:jc w:val="both"/>
        <w:rPr>
          <w:rFonts w:ascii="Adani Regular" w:hAnsi="Adani Regular"/>
          <w:sz w:val="22"/>
          <w:szCs w:val="22"/>
        </w:rPr>
      </w:pPr>
    </w:p>
    <w:p w14:paraId="070BF09A" w14:textId="77777777" w:rsidR="00753E7A" w:rsidRPr="00CD752E" w:rsidRDefault="00753E7A"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Imported coal shall be brought to Dhamra port, India through sea and would be transported to Project site through Rail network, approximate distance from Dhamra port to Thermal Power Project is 695 km. The Company has entered into a MoU with the Dhamra Port Company Limited (DPCL), a 100% subsidiary of Adani Ports and SEZ Ltd, for port handling including coal unloading, storage, loading onto railway wagons and port related documentation. </w:t>
      </w:r>
    </w:p>
    <w:p w14:paraId="701A0A60" w14:textId="77777777" w:rsidR="00753E7A" w:rsidRPr="00CD752E" w:rsidRDefault="00753E7A" w:rsidP="00CD752E">
      <w:pPr>
        <w:autoSpaceDE w:val="0"/>
        <w:autoSpaceDN w:val="0"/>
        <w:adjustRightInd w:val="0"/>
        <w:spacing w:line="276" w:lineRule="auto"/>
        <w:ind w:right="-97"/>
        <w:jc w:val="both"/>
        <w:rPr>
          <w:rFonts w:ascii="Adani Regular" w:hAnsi="Adani Regular"/>
          <w:sz w:val="22"/>
          <w:szCs w:val="22"/>
        </w:rPr>
      </w:pPr>
    </w:p>
    <w:p w14:paraId="320CFB30" w14:textId="77777777" w:rsidR="00753E7A" w:rsidRPr="00CD752E" w:rsidRDefault="00753E7A"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The Dhamra Port is a multi-user, multi-cargo all weather port with the ability to handle large </w:t>
      </w:r>
      <w:r w:rsidR="00EA3765" w:rsidRPr="00CD752E">
        <w:rPr>
          <w:rFonts w:ascii="Adani Regular" w:hAnsi="Adani Regular"/>
          <w:sz w:val="22"/>
          <w:szCs w:val="22"/>
        </w:rPr>
        <w:t>capsize</w:t>
      </w:r>
      <w:r w:rsidRPr="00CD752E">
        <w:rPr>
          <w:rFonts w:ascii="Adani Regular" w:hAnsi="Adani Regular"/>
          <w:sz w:val="22"/>
          <w:szCs w:val="22"/>
        </w:rPr>
        <w:t xml:space="preserve"> vessels. DPCL is also a financially strong entity and can handle 100MMT of cargo on annual basis. DPCL’s contract with APJL would be less than 10% of the cargo handled by DPCL annually. The pricing of coal including ocean freight, port handling and other charges mirrors the coal cost recovery mechanism detailed in the PPA, which makes the entire arrangement of coal procurement a complete pass through for APJL Coal will be transported from the Dhamra port to the plant through India Railway network up to Godda Stations. </w:t>
      </w:r>
    </w:p>
    <w:p w14:paraId="370D3316" w14:textId="77777777" w:rsidR="00753E7A" w:rsidRPr="00CD752E" w:rsidRDefault="00753E7A" w:rsidP="00CD752E">
      <w:pPr>
        <w:autoSpaceDE w:val="0"/>
        <w:autoSpaceDN w:val="0"/>
        <w:adjustRightInd w:val="0"/>
        <w:spacing w:line="276" w:lineRule="auto"/>
        <w:ind w:right="-97"/>
        <w:jc w:val="both"/>
        <w:rPr>
          <w:rFonts w:ascii="Adani Regular" w:hAnsi="Adani Regular"/>
          <w:sz w:val="22"/>
          <w:szCs w:val="22"/>
        </w:rPr>
      </w:pPr>
    </w:p>
    <w:p w14:paraId="106D93E2" w14:textId="40C6099E" w:rsidR="00753E7A" w:rsidRDefault="00753E7A"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For the last mile connectivity of approx. 6 km, the private siding is being constructed under the Project to bring coal Godda station to the Plant. This line is </w:t>
      </w:r>
      <w:r w:rsidR="0005492F">
        <w:rPr>
          <w:rFonts w:ascii="Adani Regular" w:hAnsi="Adani Regular"/>
          <w:sz w:val="22"/>
          <w:szCs w:val="22"/>
        </w:rPr>
        <w:t xml:space="preserve">completed and </w:t>
      </w:r>
      <w:r w:rsidR="00225334">
        <w:rPr>
          <w:rFonts w:ascii="Adani Regular" w:hAnsi="Adani Regular"/>
          <w:sz w:val="22"/>
          <w:szCs w:val="22"/>
        </w:rPr>
        <w:t>trail rum done</w:t>
      </w:r>
      <w:r w:rsidRPr="00CD752E">
        <w:rPr>
          <w:rFonts w:ascii="Adani Regular" w:hAnsi="Adani Regular"/>
          <w:sz w:val="22"/>
          <w:szCs w:val="22"/>
        </w:rPr>
        <w:t>.</w:t>
      </w:r>
    </w:p>
    <w:p w14:paraId="56CF041D" w14:textId="77777777" w:rsidR="00753E7A" w:rsidRPr="00CD752E" w:rsidRDefault="00753E7A" w:rsidP="00CD752E">
      <w:pPr>
        <w:autoSpaceDE w:val="0"/>
        <w:autoSpaceDN w:val="0"/>
        <w:adjustRightInd w:val="0"/>
        <w:spacing w:line="276" w:lineRule="auto"/>
        <w:ind w:right="-97"/>
        <w:jc w:val="both"/>
        <w:rPr>
          <w:rFonts w:ascii="Adani Regular" w:hAnsi="Adani Regular"/>
          <w:sz w:val="22"/>
          <w:szCs w:val="22"/>
        </w:rPr>
      </w:pPr>
    </w:p>
    <w:p w14:paraId="5EDDC385" w14:textId="77777777" w:rsidR="00753E7A" w:rsidRPr="00CD752E" w:rsidRDefault="00753E7A" w:rsidP="004819CB">
      <w:pPr>
        <w:pStyle w:val="ListParagraph"/>
        <w:numPr>
          <w:ilvl w:val="0"/>
          <w:numId w:val="6"/>
        </w:numPr>
        <w:autoSpaceDE w:val="0"/>
        <w:autoSpaceDN w:val="0"/>
        <w:adjustRightInd w:val="0"/>
        <w:spacing w:line="276" w:lineRule="auto"/>
        <w:ind w:right="-97"/>
        <w:jc w:val="both"/>
        <w:rPr>
          <w:rFonts w:ascii="Adani Regular" w:hAnsi="Adani Regular"/>
          <w:b/>
          <w:sz w:val="22"/>
          <w:szCs w:val="22"/>
        </w:rPr>
      </w:pPr>
      <w:r w:rsidRPr="00CD752E">
        <w:rPr>
          <w:rFonts w:ascii="Adani Regular" w:hAnsi="Adani Regular"/>
          <w:b/>
          <w:sz w:val="22"/>
          <w:szCs w:val="22"/>
        </w:rPr>
        <w:t>Water requirement during operations</w:t>
      </w:r>
    </w:p>
    <w:p w14:paraId="7CA2B03C" w14:textId="77777777" w:rsidR="00753E7A" w:rsidRPr="00CD752E" w:rsidRDefault="00840A23"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The e</w:t>
      </w:r>
      <w:r w:rsidR="00753E7A" w:rsidRPr="00CD752E">
        <w:rPr>
          <w:rFonts w:ascii="Adani Regular" w:hAnsi="Adani Regular"/>
          <w:sz w:val="22"/>
          <w:szCs w:val="22"/>
        </w:rPr>
        <w:t>stimated raw water requirement for the proposed Thermal Project is approx. 4,000 m³/</w:t>
      </w:r>
      <w:proofErr w:type="spellStart"/>
      <w:r w:rsidR="00753E7A" w:rsidRPr="00CD752E">
        <w:rPr>
          <w:rFonts w:ascii="Adani Regular" w:hAnsi="Adani Regular"/>
          <w:sz w:val="22"/>
          <w:szCs w:val="22"/>
        </w:rPr>
        <w:t>hr</w:t>
      </w:r>
      <w:proofErr w:type="spellEnd"/>
      <w:r w:rsidR="00753E7A" w:rsidRPr="00CD752E">
        <w:rPr>
          <w:rFonts w:ascii="Adani Regular" w:hAnsi="Adani Regular"/>
          <w:sz w:val="22"/>
          <w:szCs w:val="22"/>
        </w:rPr>
        <w:t xml:space="preserve"> (~ 35 </w:t>
      </w:r>
      <w:proofErr w:type="gramStart"/>
      <w:r w:rsidR="00753E7A" w:rsidRPr="00CD752E">
        <w:rPr>
          <w:rFonts w:ascii="Adani Regular" w:hAnsi="Adani Regular"/>
          <w:sz w:val="22"/>
          <w:szCs w:val="22"/>
        </w:rPr>
        <w:t>Million</w:t>
      </w:r>
      <w:proofErr w:type="gramEnd"/>
      <w:r w:rsidR="00753E7A" w:rsidRPr="00CD752E">
        <w:rPr>
          <w:rFonts w:ascii="Adani Regular" w:hAnsi="Adani Regular"/>
          <w:sz w:val="22"/>
          <w:szCs w:val="22"/>
        </w:rPr>
        <w:t xml:space="preserve"> Cubic meter). On January 01, 2018, Water Resources Department (WRD), Government of Jharkhand (</w:t>
      </w:r>
      <w:proofErr w:type="spellStart"/>
      <w:r w:rsidR="00753E7A" w:rsidRPr="00CD752E">
        <w:rPr>
          <w:rFonts w:ascii="Adani Regular" w:hAnsi="Adani Regular"/>
          <w:sz w:val="22"/>
          <w:szCs w:val="22"/>
        </w:rPr>
        <w:t>GoJ</w:t>
      </w:r>
      <w:proofErr w:type="spellEnd"/>
      <w:r w:rsidR="00753E7A" w:rsidRPr="00CD752E">
        <w:rPr>
          <w:rFonts w:ascii="Adani Regular" w:hAnsi="Adani Regular"/>
          <w:sz w:val="22"/>
          <w:szCs w:val="22"/>
        </w:rPr>
        <w:t xml:space="preserve">) has allocated raw water of 36 </w:t>
      </w:r>
      <w:proofErr w:type="gramStart"/>
      <w:r w:rsidR="00753E7A" w:rsidRPr="00CD752E">
        <w:rPr>
          <w:rFonts w:ascii="Adani Regular" w:hAnsi="Adani Regular"/>
          <w:sz w:val="22"/>
          <w:szCs w:val="22"/>
        </w:rPr>
        <w:t>Million</w:t>
      </w:r>
      <w:proofErr w:type="gramEnd"/>
      <w:r w:rsidR="00753E7A" w:rsidRPr="00CD752E">
        <w:rPr>
          <w:rFonts w:ascii="Adani Regular" w:hAnsi="Adani Regular"/>
          <w:sz w:val="22"/>
          <w:szCs w:val="22"/>
        </w:rPr>
        <w:t xml:space="preserve"> Cubic meter for the power Project from the Ganga River. Raw water </w:t>
      </w:r>
      <w:r w:rsidR="00D37397" w:rsidRPr="00CD752E">
        <w:rPr>
          <w:rFonts w:ascii="Adani Regular" w:hAnsi="Adani Regular"/>
          <w:sz w:val="22"/>
          <w:szCs w:val="22"/>
        </w:rPr>
        <w:t>is</w:t>
      </w:r>
      <w:r w:rsidR="00753E7A" w:rsidRPr="00CD752E">
        <w:rPr>
          <w:rFonts w:ascii="Adani Regular" w:hAnsi="Adani Regular"/>
          <w:sz w:val="22"/>
          <w:szCs w:val="22"/>
        </w:rPr>
        <w:t xml:space="preserve"> to be brought to the site from the Ganga River through an in-take pump house and piping. </w:t>
      </w:r>
    </w:p>
    <w:p w14:paraId="084FF5B8" w14:textId="06EDF1DF" w:rsidR="00753E7A" w:rsidRDefault="00753E7A" w:rsidP="00CD752E">
      <w:pPr>
        <w:autoSpaceDE w:val="0"/>
        <w:autoSpaceDN w:val="0"/>
        <w:adjustRightInd w:val="0"/>
        <w:spacing w:line="276" w:lineRule="auto"/>
        <w:ind w:right="-97"/>
        <w:jc w:val="both"/>
        <w:rPr>
          <w:rFonts w:ascii="Adani Regular" w:hAnsi="Adani Regular"/>
          <w:sz w:val="22"/>
          <w:szCs w:val="22"/>
        </w:rPr>
      </w:pPr>
    </w:p>
    <w:p w14:paraId="71649AED" w14:textId="3B9868AA" w:rsidR="00D11508" w:rsidRDefault="00D11508" w:rsidP="00CD752E">
      <w:pPr>
        <w:autoSpaceDE w:val="0"/>
        <w:autoSpaceDN w:val="0"/>
        <w:adjustRightInd w:val="0"/>
        <w:spacing w:line="276" w:lineRule="auto"/>
        <w:ind w:right="-97"/>
        <w:jc w:val="both"/>
        <w:rPr>
          <w:rFonts w:ascii="Adani Regular" w:hAnsi="Adani Regular"/>
          <w:sz w:val="22"/>
          <w:szCs w:val="22"/>
        </w:rPr>
      </w:pPr>
    </w:p>
    <w:p w14:paraId="60F41141" w14:textId="77777777" w:rsidR="00D11508" w:rsidRDefault="00D11508" w:rsidP="00CD752E">
      <w:pPr>
        <w:autoSpaceDE w:val="0"/>
        <w:autoSpaceDN w:val="0"/>
        <w:adjustRightInd w:val="0"/>
        <w:spacing w:line="276" w:lineRule="auto"/>
        <w:ind w:right="-97"/>
        <w:jc w:val="both"/>
        <w:rPr>
          <w:rFonts w:ascii="Adani Regular" w:hAnsi="Adani Regular"/>
          <w:sz w:val="22"/>
          <w:szCs w:val="22"/>
        </w:rPr>
      </w:pPr>
    </w:p>
    <w:p w14:paraId="7E925A7F" w14:textId="77777777" w:rsidR="00D37397" w:rsidRPr="00CD752E" w:rsidRDefault="00D37397" w:rsidP="004819CB">
      <w:pPr>
        <w:pStyle w:val="ListParagraph"/>
        <w:numPr>
          <w:ilvl w:val="0"/>
          <w:numId w:val="6"/>
        </w:numPr>
        <w:autoSpaceDE w:val="0"/>
        <w:autoSpaceDN w:val="0"/>
        <w:adjustRightInd w:val="0"/>
        <w:spacing w:line="276" w:lineRule="auto"/>
        <w:ind w:right="-97"/>
        <w:jc w:val="both"/>
        <w:rPr>
          <w:rFonts w:ascii="Adani Regular" w:hAnsi="Adani Regular"/>
          <w:b/>
          <w:sz w:val="22"/>
          <w:szCs w:val="22"/>
        </w:rPr>
      </w:pPr>
      <w:r w:rsidRPr="00CD752E">
        <w:rPr>
          <w:rFonts w:ascii="Adani Regular" w:hAnsi="Adani Regular"/>
          <w:b/>
          <w:sz w:val="22"/>
          <w:szCs w:val="22"/>
        </w:rPr>
        <w:t>Evacuation Infrastructure</w:t>
      </w:r>
    </w:p>
    <w:p w14:paraId="4FA6C55A" w14:textId="77777777" w:rsidR="00D37397" w:rsidRPr="00CD752E" w:rsidRDefault="00D37397"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The Transmission line length of the approx. 140 km line would be required for the power evacuation from Project site in India to a substation in Bangladesh. The PPA&amp; IA lays down the responsibility of APJL and PGCB in respect of the evacuation system for the power project. </w:t>
      </w:r>
    </w:p>
    <w:p w14:paraId="4BEDFA6A" w14:textId="77777777" w:rsidR="00D37397" w:rsidRPr="00CD752E" w:rsidRDefault="00D37397" w:rsidP="00CD752E">
      <w:pPr>
        <w:autoSpaceDE w:val="0"/>
        <w:autoSpaceDN w:val="0"/>
        <w:adjustRightInd w:val="0"/>
        <w:spacing w:line="276" w:lineRule="auto"/>
        <w:ind w:right="-97"/>
        <w:jc w:val="both"/>
        <w:rPr>
          <w:rFonts w:ascii="Adani Regular" w:hAnsi="Adani Regular"/>
          <w:sz w:val="22"/>
          <w:szCs w:val="22"/>
        </w:rPr>
      </w:pPr>
    </w:p>
    <w:p w14:paraId="03ACA3DB" w14:textId="77777777" w:rsidR="00D37397" w:rsidRPr="00CD752E" w:rsidRDefault="00D37397"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As per IA, the evacuation of electric power generated by the Facility will be through a new substation and 400 kV double circuit transmission line (referred as Interconnection </w:t>
      </w:r>
      <w:proofErr w:type="gramStart"/>
      <w:r w:rsidRPr="00CD752E">
        <w:rPr>
          <w:rFonts w:ascii="Adani Regular" w:hAnsi="Adani Regular"/>
          <w:sz w:val="22"/>
          <w:szCs w:val="22"/>
        </w:rPr>
        <w:t>And</w:t>
      </w:r>
      <w:proofErr w:type="gramEnd"/>
      <w:r w:rsidRPr="00CD752E">
        <w:rPr>
          <w:rFonts w:ascii="Adani Regular" w:hAnsi="Adani Regular"/>
          <w:sz w:val="22"/>
          <w:szCs w:val="22"/>
        </w:rPr>
        <w:t xml:space="preserve"> Transmission Facilities "ITF" in IA) to be constructed and owned by PGCB from the Bangladesh side of the Indo Bangladesh border, connecting to the Dedicated Transmission System. ITF shall include without limitation, any other line of any voltage which is part of PGCB's transmission and distribution facilities and is required for absorption of power by the Bangladesh grid. </w:t>
      </w:r>
    </w:p>
    <w:p w14:paraId="1116B8E4" w14:textId="77777777" w:rsidR="00D37397" w:rsidRPr="00CD752E" w:rsidRDefault="00D37397" w:rsidP="00CD752E">
      <w:pPr>
        <w:autoSpaceDE w:val="0"/>
        <w:autoSpaceDN w:val="0"/>
        <w:adjustRightInd w:val="0"/>
        <w:spacing w:line="276" w:lineRule="auto"/>
        <w:ind w:right="-97"/>
        <w:jc w:val="both"/>
        <w:rPr>
          <w:rFonts w:ascii="Adani Regular" w:hAnsi="Adani Regular"/>
          <w:sz w:val="22"/>
          <w:szCs w:val="22"/>
        </w:rPr>
      </w:pPr>
    </w:p>
    <w:p w14:paraId="2FBFBC60" w14:textId="77777777" w:rsidR="00D37397" w:rsidRPr="00CD752E" w:rsidRDefault="00D37397"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Dedicated Transmission System means the 400 kV double circuit quad conductor dedicated transmission system for </w:t>
      </w:r>
      <w:proofErr w:type="gramStart"/>
      <w:r w:rsidRPr="00CD752E">
        <w:rPr>
          <w:rFonts w:ascii="Adani Regular" w:hAnsi="Adani Regular"/>
          <w:sz w:val="22"/>
          <w:szCs w:val="22"/>
        </w:rPr>
        <w:t>point to point</w:t>
      </w:r>
      <w:proofErr w:type="gramEnd"/>
      <w:r w:rsidRPr="00CD752E">
        <w:rPr>
          <w:rFonts w:ascii="Adani Regular" w:hAnsi="Adani Regular"/>
          <w:sz w:val="22"/>
          <w:szCs w:val="22"/>
        </w:rPr>
        <w:t xml:space="preserve"> transmission of electricity from the Facility up to the Indian side of Indo-Bangladesh border. The same is of ~106 km and will be owned, operated and maintained by APJL.</w:t>
      </w:r>
    </w:p>
    <w:p w14:paraId="69AA7588" w14:textId="77777777" w:rsidR="00D37397" w:rsidRPr="00CD752E" w:rsidRDefault="00D37397" w:rsidP="00CD752E">
      <w:pPr>
        <w:autoSpaceDE w:val="0"/>
        <w:autoSpaceDN w:val="0"/>
        <w:adjustRightInd w:val="0"/>
        <w:spacing w:line="276" w:lineRule="auto"/>
        <w:ind w:right="-97"/>
        <w:jc w:val="both"/>
        <w:rPr>
          <w:rFonts w:ascii="Adani Regular" w:hAnsi="Adani Regular"/>
          <w:sz w:val="22"/>
          <w:szCs w:val="22"/>
        </w:rPr>
      </w:pPr>
    </w:p>
    <w:p w14:paraId="4B6BC742" w14:textId="77777777" w:rsidR="00D37397" w:rsidRPr="00CD752E" w:rsidRDefault="00D37397"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Besides, the APJL shall also construct 400 kV switchyard for evacuation of power with the provision for termination of two 400 kV circuit (defined as the "Electrical Interconnection Facility"). This 400 kV switchyard line breaker, Current Transformer, Potential Transformer and other necessary equipment and associated relays, controls, protection, communication and instrument system, will be operated and maintained by APJL. APJL will install, maintain &amp; operate separate synchronizing breaker for each Unit. </w:t>
      </w:r>
    </w:p>
    <w:p w14:paraId="00C81B8D" w14:textId="77777777" w:rsidR="00D37397" w:rsidRPr="00CD752E" w:rsidRDefault="00D37397" w:rsidP="00CD752E">
      <w:pPr>
        <w:autoSpaceDE w:val="0"/>
        <w:autoSpaceDN w:val="0"/>
        <w:adjustRightInd w:val="0"/>
        <w:spacing w:line="276" w:lineRule="auto"/>
        <w:ind w:right="-97"/>
        <w:jc w:val="both"/>
        <w:rPr>
          <w:rFonts w:ascii="Adani Regular" w:hAnsi="Adani Regular"/>
          <w:sz w:val="22"/>
          <w:szCs w:val="22"/>
        </w:rPr>
      </w:pPr>
    </w:p>
    <w:p w14:paraId="17D5AB45" w14:textId="77777777" w:rsidR="00D37397" w:rsidRPr="00CD752E" w:rsidRDefault="00D37397"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The Ministry of Power, Government of India has notified Guidelines on Cross Border Trade of Electricity dated 5th December, 2016. In accordance with the provisions under these guidelines, Indian Generating Stations supplying power to </w:t>
      </w:r>
      <w:proofErr w:type="spellStart"/>
      <w:r w:rsidRPr="00CD752E">
        <w:rPr>
          <w:rFonts w:ascii="Adani Regular" w:hAnsi="Adani Regular"/>
          <w:sz w:val="22"/>
          <w:szCs w:val="22"/>
        </w:rPr>
        <w:t>neighbouring</w:t>
      </w:r>
      <w:proofErr w:type="spellEnd"/>
      <w:r w:rsidRPr="00CD752E">
        <w:rPr>
          <w:rFonts w:ascii="Adani Regular" w:hAnsi="Adani Regular"/>
          <w:sz w:val="22"/>
          <w:szCs w:val="22"/>
        </w:rPr>
        <w:t xml:space="preserve"> countries are allowed to build independent transmission systems with the approval of the Competent Authority (Central Electricity Authority in India). APJL has secured approval from to the Competent Authority for development of the transmission line from its project premises till the Indian side of the Indo-Bangladesh border. Further, APJL has also secured approval to construct the Dedicated Transmission System under section 68 of the Electricity Act, 2003.</w:t>
      </w:r>
    </w:p>
    <w:p w14:paraId="7B182EA3" w14:textId="77777777" w:rsidR="004147AD" w:rsidRPr="00CD752E" w:rsidRDefault="004147AD" w:rsidP="00CD752E">
      <w:pPr>
        <w:autoSpaceDE w:val="0"/>
        <w:autoSpaceDN w:val="0"/>
        <w:adjustRightInd w:val="0"/>
        <w:spacing w:line="276" w:lineRule="auto"/>
        <w:ind w:right="-97"/>
        <w:jc w:val="both"/>
        <w:rPr>
          <w:rFonts w:ascii="Adani Regular" w:hAnsi="Adani Regular"/>
          <w:b/>
          <w:sz w:val="22"/>
          <w:szCs w:val="22"/>
        </w:rPr>
      </w:pPr>
    </w:p>
    <w:p w14:paraId="69C20DDF" w14:textId="77777777" w:rsidR="004147AD" w:rsidRPr="00CD752E" w:rsidRDefault="00840A23" w:rsidP="004819CB">
      <w:pPr>
        <w:pStyle w:val="ListParagraph"/>
        <w:numPr>
          <w:ilvl w:val="0"/>
          <w:numId w:val="6"/>
        </w:numPr>
        <w:autoSpaceDE w:val="0"/>
        <w:autoSpaceDN w:val="0"/>
        <w:adjustRightInd w:val="0"/>
        <w:spacing w:line="276" w:lineRule="auto"/>
        <w:ind w:right="-97"/>
        <w:jc w:val="both"/>
        <w:rPr>
          <w:rFonts w:ascii="Adani Regular" w:hAnsi="Adani Regular"/>
          <w:b/>
          <w:sz w:val="22"/>
          <w:szCs w:val="22"/>
        </w:rPr>
      </w:pPr>
      <w:r w:rsidRPr="00CD752E">
        <w:rPr>
          <w:rFonts w:ascii="Adani Regular" w:hAnsi="Adani Regular"/>
          <w:b/>
          <w:sz w:val="22"/>
          <w:szCs w:val="22"/>
        </w:rPr>
        <w:t>Implementation Agreement</w:t>
      </w:r>
      <w:r w:rsidR="008D3F2B" w:rsidRPr="00CD752E">
        <w:rPr>
          <w:rFonts w:ascii="Adani Regular" w:hAnsi="Adani Regular"/>
          <w:b/>
          <w:sz w:val="22"/>
          <w:szCs w:val="22"/>
          <w:lang w:val="en-US"/>
        </w:rPr>
        <w:t>:</w:t>
      </w:r>
    </w:p>
    <w:p w14:paraId="549B26C3" w14:textId="77777777" w:rsidR="004147AD" w:rsidRPr="00CD752E" w:rsidRDefault="004147AD"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An Implementation Agreement (IA) has been entered into among Adani Power (Jharkhand) Limited, Government of People’s Republic of Bangladesh (GOB) and Power Grid Company of Bangladesh (PGCB) on November 5, 2017 relating to development and implementation of the 1496 MW (Net) Coal based power plant at Godda District, Jharkhand, India. The IA agreement sets out the obligations of GoB and PGCB to facilitate the implementation of this project and the financial obligations therein. The IA also specifies the format of guarantee to be given by GoB for guaranteeing the payment obligations of PGCB under the IA and that of BPDB under the PPA. The IA governs various government authorizations, permits, representation and warranties for GOB and PGCB, assignment &amp; security of the project assets, Force </w:t>
      </w:r>
      <w:r w:rsidRPr="00CD752E">
        <w:rPr>
          <w:rFonts w:ascii="Adani Regular" w:hAnsi="Adani Regular"/>
          <w:sz w:val="22"/>
          <w:szCs w:val="22"/>
        </w:rPr>
        <w:lastRenderedPageBreak/>
        <w:t xml:space="preserve">Majeure and Change in Law, Taxation, Termination and Rights and Obligations provisions among others. The IA is governed by English Law and the arbitration is as per Singapore International Arbitration (SIAC) rules. </w:t>
      </w:r>
    </w:p>
    <w:p w14:paraId="4A4B9B25" w14:textId="77777777" w:rsidR="009D11F7" w:rsidRPr="00CD752E" w:rsidRDefault="009D11F7" w:rsidP="00CD752E">
      <w:pPr>
        <w:autoSpaceDE w:val="0"/>
        <w:autoSpaceDN w:val="0"/>
        <w:adjustRightInd w:val="0"/>
        <w:spacing w:line="276" w:lineRule="auto"/>
        <w:ind w:right="-97"/>
        <w:jc w:val="both"/>
        <w:rPr>
          <w:rFonts w:ascii="Adani Regular" w:hAnsi="Adani Regular"/>
          <w:sz w:val="22"/>
          <w:szCs w:val="22"/>
        </w:rPr>
      </w:pPr>
    </w:p>
    <w:p w14:paraId="518BC2BE" w14:textId="77777777" w:rsidR="00673118" w:rsidRPr="00CD752E" w:rsidRDefault="00673118" w:rsidP="004819CB">
      <w:pPr>
        <w:pStyle w:val="ListParagraph"/>
        <w:numPr>
          <w:ilvl w:val="0"/>
          <w:numId w:val="6"/>
        </w:numPr>
        <w:autoSpaceDE w:val="0"/>
        <w:autoSpaceDN w:val="0"/>
        <w:adjustRightInd w:val="0"/>
        <w:spacing w:line="276" w:lineRule="auto"/>
        <w:ind w:right="-97"/>
        <w:jc w:val="both"/>
        <w:rPr>
          <w:rFonts w:ascii="Adani Regular" w:hAnsi="Adani Regular"/>
          <w:b/>
          <w:sz w:val="22"/>
          <w:szCs w:val="22"/>
        </w:rPr>
      </w:pPr>
      <w:r w:rsidRPr="00CD752E">
        <w:rPr>
          <w:rFonts w:ascii="Adani Regular" w:hAnsi="Adani Regular"/>
          <w:b/>
          <w:sz w:val="22"/>
          <w:szCs w:val="22"/>
        </w:rPr>
        <w:t>Bangladesh Government Guarantee under the I</w:t>
      </w:r>
      <w:r w:rsidR="00DC1894" w:rsidRPr="00CD752E">
        <w:rPr>
          <w:rFonts w:ascii="Adani Regular" w:hAnsi="Adani Regular"/>
          <w:b/>
          <w:sz w:val="22"/>
          <w:szCs w:val="22"/>
          <w:lang w:val="en-US"/>
        </w:rPr>
        <w:t xml:space="preserve">mplementation </w:t>
      </w:r>
      <w:r w:rsidRPr="00CD752E">
        <w:rPr>
          <w:rFonts w:ascii="Adani Regular" w:hAnsi="Adani Regular"/>
          <w:b/>
          <w:sz w:val="22"/>
          <w:szCs w:val="22"/>
        </w:rPr>
        <w:t>A</w:t>
      </w:r>
      <w:r w:rsidR="00DC1894" w:rsidRPr="00CD752E">
        <w:rPr>
          <w:rFonts w:ascii="Adani Regular" w:hAnsi="Adani Regular"/>
          <w:b/>
          <w:sz w:val="22"/>
          <w:szCs w:val="22"/>
          <w:lang w:val="en-US"/>
        </w:rPr>
        <w:t>greement</w:t>
      </w:r>
      <w:r w:rsidRPr="00CD752E">
        <w:rPr>
          <w:rFonts w:ascii="Adani Regular" w:hAnsi="Adani Regular"/>
          <w:b/>
          <w:sz w:val="22"/>
          <w:szCs w:val="22"/>
        </w:rPr>
        <w:t xml:space="preserve">: </w:t>
      </w:r>
    </w:p>
    <w:p w14:paraId="0D6C164E" w14:textId="77777777" w:rsidR="00673118" w:rsidRPr="00CD752E" w:rsidRDefault="00673118"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An irrevocable and unconditional Sovereign Guarantee from the GOB forms part of this IA which secures all payments that are due to APJL from BPDB and PGCB. Under the IA, the GOB also provides for its explicit support in obtaining and keep in vogue all clearances and permits required by the plant to remain operational</w:t>
      </w:r>
      <w:r w:rsidR="00DC1894" w:rsidRPr="00CD752E">
        <w:rPr>
          <w:rFonts w:ascii="Adani Regular" w:hAnsi="Adani Regular"/>
          <w:sz w:val="22"/>
          <w:szCs w:val="22"/>
        </w:rPr>
        <w:t>.</w:t>
      </w:r>
    </w:p>
    <w:p w14:paraId="06A0784B" w14:textId="77777777" w:rsidR="00DC1894" w:rsidRPr="00CD752E" w:rsidRDefault="00DC1894" w:rsidP="00CD752E">
      <w:pPr>
        <w:autoSpaceDE w:val="0"/>
        <w:autoSpaceDN w:val="0"/>
        <w:adjustRightInd w:val="0"/>
        <w:spacing w:line="276" w:lineRule="auto"/>
        <w:ind w:right="-97"/>
        <w:jc w:val="both"/>
        <w:rPr>
          <w:rFonts w:ascii="Adani Regular" w:hAnsi="Adani Regular"/>
          <w:sz w:val="22"/>
          <w:szCs w:val="22"/>
        </w:rPr>
      </w:pPr>
    </w:p>
    <w:p w14:paraId="55339370" w14:textId="6C5ABD8C" w:rsidR="00DC1894" w:rsidRPr="00CD752E" w:rsidRDefault="00DC1894"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In line with the above, GOB has provided guarantee in </w:t>
      </w:r>
      <w:proofErr w:type="spellStart"/>
      <w:r w:rsidRPr="00CD752E">
        <w:rPr>
          <w:rFonts w:ascii="Adani Regular" w:hAnsi="Adani Regular"/>
          <w:sz w:val="22"/>
          <w:szCs w:val="22"/>
        </w:rPr>
        <w:t>favour</w:t>
      </w:r>
      <w:proofErr w:type="spellEnd"/>
      <w:r w:rsidRPr="00CD752E">
        <w:rPr>
          <w:rFonts w:ascii="Adani Regular" w:hAnsi="Adani Regular"/>
          <w:sz w:val="22"/>
          <w:szCs w:val="22"/>
        </w:rPr>
        <w:t xml:space="preserve"> of Adani Power (Jharkhand) Ltd vide Guarantee dated 5</w:t>
      </w:r>
      <w:r w:rsidRPr="00CD752E">
        <w:rPr>
          <w:rFonts w:ascii="Adani Regular" w:hAnsi="Adani Regular"/>
          <w:sz w:val="22"/>
          <w:szCs w:val="22"/>
          <w:vertAlign w:val="superscript"/>
        </w:rPr>
        <w:t>th</w:t>
      </w:r>
      <w:r w:rsidRPr="00CD752E">
        <w:rPr>
          <w:rFonts w:ascii="Adani Regular" w:hAnsi="Adani Regular"/>
          <w:sz w:val="22"/>
          <w:szCs w:val="22"/>
        </w:rPr>
        <w:t xml:space="preserve"> November, 2019.</w:t>
      </w:r>
    </w:p>
    <w:p w14:paraId="70269B4B" w14:textId="14207AC5" w:rsidR="00C24A0C" w:rsidRPr="00CD752E" w:rsidRDefault="00C24A0C" w:rsidP="00CD752E">
      <w:pPr>
        <w:autoSpaceDE w:val="0"/>
        <w:autoSpaceDN w:val="0"/>
        <w:adjustRightInd w:val="0"/>
        <w:spacing w:line="276" w:lineRule="auto"/>
        <w:ind w:right="-97"/>
        <w:jc w:val="both"/>
        <w:rPr>
          <w:rFonts w:ascii="Adani Regular" w:hAnsi="Adani Regular"/>
          <w:sz w:val="22"/>
          <w:szCs w:val="22"/>
        </w:rPr>
      </w:pPr>
    </w:p>
    <w:p w14:paraId="4EC087B0" w14:textId="77777777" w:rsidR="00C24A0C" w:rsidRPr="00CD752E" w:rsidRDefault="00C24A0C" w:rsidP="00CD752E">
      <w:pPr>
        <w:autoSpaceDE w:val="0"/>
        <w:autoSpaceDN w:val="0"/>
        <w:adjustRightInd w:val="0"/>
        <w:spacing w:line="276" w:lineRule="auto"/>
        <w:ind w:right="-97"/>
        <w:jc w:val="both"/>
        <w:rPr>
          <w:rFonts w:ascii="Adani Regular" w:hAnsi="Adani Regular"/>
          <w:sz w:val="22"/>
          <w:szCs w:val="22"/>
        </w:rPr>
      </w:pPr>
      <w:r w:rsidRPr="00CD752E">
        <w:rPr>
          <w:rFonts w:ascii="Adani Regular" w:hAnsi="Adani Regular"/>
          <w:sz w:val="22"/>
          <w:szCs w:val="22"/>
        </w:rPr>
        <w:t xml:space="preserve">The key features of the Guarantee are set out below: </w:t>
      </w:r>
    </w:p>
    <w:p w14:paraId="7D05D457" w14:textId="77777777" w:rsidR="00C24A0C" w:rsidRPr="00CD752E" w:rsidRDefault="00C24A0C" w:rsidP="00CD752E">
      <w:pPr>
        <w:autoSpaceDE w:val="0"/>
        <w:autoSpaceDN w:val="0"/>
        <w:adjustRightInd w:val="0"/>
        <w:spacing w:line="276" w:lineRule="auto"/>
        <w:ind w:right="-97"/>
        <w:jc w:val="both"/>
        <w:rPr>
          <w:rFonts w:ascii="Adani Regular" w:hAnsi="Adani Regular"/>
          <w:sz w:val="22"/>
          <w:szCs w:val="22"/>
        </w:rPr>
      </w:pPr>
    </w:p>
    <w:p w14:paraId="57442035" w14:textId="77777777" w:rsidR="00E419E9" w:rsidRPr="00CD752E" w:rsidRDefault="00C24A0C" w:rsidP="004819CB">
      <w:pPr>
        <w:pStyle w:val="ListParagraph"/>
        <w:numPr>
          <w:ilvl w:val="0"/>
          <w:numId w:val="3"/>
        </w:numPr>
        <w:autoSpaceDE w:val="0"/>
        <w:autoSpaceDN w:val="0"/>
        <w:adjustRightInd w:val="0"/>
        <w:spacing w:line="276" w:lineRule="auto"/>
        <w:ind w:right="-97"/>
        <w:jc w:val="both"/>
        <w:rPr>
          <w:rFonts w:ascii="Adani Regular" w:hAnsi="Adani Regular"/>
          <w:sz w:val="22"/>
          <w:szCs w:val="22"/>
          <w:lang w:val="en-US" w:eastAsia="en-US"/>
        </w:rPr>
      </w:pPr>
      <w:r w:rsidRPr="00CD752E">
        <w:rPr>
          <w:rFonts w:ascii="Adani Regular" w:hAnsi="Adani Regular"/>
          <w:sz w:val="22"/>
          <w:szCs w:val="22"/>
          <w:lang w:val="en-US" w:eastAsia="en-US"/>
        </w:rPr>
        <w:t xml:space="preserve">The Guarantee provides for an unconditional payment obligation on GOB in respect of all amounts due but not paid by BPDB and/or PGCB under the Agreements, including tariff payments, payments in respect of damages and compensation and any other amounts due and payable by BPDB and/or PGCB under the Agreements. </w:t>
      </w:r>
    </w:p>
    <w:p w14:paraId="73F1D13D" w14:textId="3F634908" w:rsidR="00C24A0C" w:rsidRPr="00CD752E" w:rsidRDefault="00C24A0C" w:rsidP="004819CB">
      <w:pPr>
        <w:pStyle w:val="ListParagraph"/>
        <w:numPr>
          <w:ilvl w:val="0"/>
          <w:numId w:val="3"/>
        </w:numPr>
        <w:autoSpaceDE w:val="0"/>
        <w:autoSpaceDN w:val="0"/>
        <w:adjustRightInd w:val="0"/>
        <w:spacing w:line="276" w:lineRule="auto"/>
        <w:ind w:right="-97"/>
        <w:jc w:val="both"/>
        <w:rPr>
          <w:rFonts w:ascii="Adani Regular" w:hAnsi="Adani Regular"/>
          <w:sz w:val="22"/>
          <w:szCs w:val="22"/>
          <w:lang w:val="en-US" w:eastAsia="en-US"/>
        </w:rPr>
      </w:pPr>
      <w:r w:rsidRPr="00CD752E">
        <w:rPr>
          <w:rFonts w:ascii="Adani Regular" w:hAnsi="Adani Regular"/>
          <w:sz w:val="22"/>
          <w:szCs w:val="22"/>
          <w:lang w:val="en-US" w:eastAsia="en-US"/>
        </w:rPr>
        <w:t xml:space="preserve">The Guarantee is to be provided at Financial Closing and shall remain in full force and effect until the term of the Agreements. </w:t>
      </w:r>
    </w:p>
    <w:p w14:paraId="1812E614" w14:textId="77777777" w:rsidR="00E419E9" w:rsidRPr="00CD752E" w:rsidRDefault="00C24A0C" w:rsidP="004819CB">
      <w:pPr>
        <w:pStyle w:val="ListParagraph"/>
        <w:numPr>
          <w:ilvl w:val="0"/>
          <w:numId w:val="3"/>
        </w:numPr>
        <w:autoSpaceDE w:val="0"/>
        <w:autoSpaceDN w:val="0"/>
        <w:adjustRightInd w:val="0"/>
        <w:spacing w:line="276" w:lineRule="auto"/>
        <w:ind w:right="-97"/>
        <w:jc w:val="both"/>
        <w:rPr>
          <w:rFonts w:ascii="Adani Regular" w:hAnsi="Adani Regular"/>
          <w:sz w:val="22"/>
          <w:szCs w:val="22"/>
          <w:lang w:val="en-US" w:eastAsia="en-US"/>
        </w:rPr>
      </w:pPr>
      <w:r w:rsidRPr="00CD752E">
        <w:rPr>
          <w:rFonts w:ascii="Adani Regular" w:hAnsi="Adani Regular"/>
          <w:sz w:val="22"/>
          <w:szCs w:val="22"/>
          <w:lang w:val="en-US" w:eastAsia="en-US"/>
        </w:rPr>
        <w:t xml:space="preserve">Prior to issuance of a demand notice under the Guarantee, the Company is required to first make a demand for payment from BPDB or PGCB, as the case may be, with a copy to GOB. If such amounts remain unpaid 30 days after the due date, the Company may proceed to issue a demand notice to GOB under the Guarantee and GOB is obligated to make such payment within 20 days from the date of demand. </w:t>
      </w:r>
    </w:p>
    <w:p w14:paraId="283E51E0" w14:textId="77777777" w:rsidR="00E419E9" w:rsidRPr="00CD752E" w:rsidRDefault="00C24A0C" w:rsidP="004819CB">
      <w:pPr>
        <w:pStyle w:val="ListParagraph"/>
        <w:numPr>
          <w:ilvl w:val="0"/>
          <w:numId w:val="3"/>
        </w:numPr>
        <w:autoSpaceDE w:val="0"/>
        <w:autoSpaceDN w:val="0"/>
        <w:adjustRightInd w:val="0"/>
        <w:spacing w:line="276" w:lineRule="auto"/>
        <w:ind w:right="-97"/>
        <w:jc w:val="both"/>
        <w:rPr>
          <w:rFonts w:ascii="Adani Regular" w:hAnsi="Adani Regular"/>
          <w:sz w:val="22"/>
          <w:szCs w:val="22"/>
          <w:lang w:val="en-US" w:eastAsia="en-US"/>
        </w:rPr>
      </w:pPr>
      <w:r w:rsidRPr="00CD752E">
        <w:rPr>
          <w:rFonts w:ascii="Adani Regular" w:hAnsi="Adani Regular"/>
          <w:sz w:val="22"/>
          <w:szCs w:val="22"/>
          <w:lang w:val="en-US" w:eastAsia="en-US"/>
        </w:rPr>
        <w:t>In case of delays in payment by GOB, interest at the Benchmark Rate (</w:t>
      </w:r>
      <w:proofErr w:type="gramStart"/>
      <w:r w:rsidRPr="00CD752E">
        <w:rPr>
          <w:rFonts w:ascii="Adani Regular" w:hAnsi="Adani Regular"/>
          <w:sz w:val="22"/>
          <w:szCs w:val="22"/>
          <w:lang w:val="en-US" w:eastAsia="en-US"/>
        </w:rPr>
        <w:t>i.e.</w:t>
      </w:r>
      <w:proofErr w:type="gramEnd"/>
      <w:r w:rsidRPr="00CD752E">
        <w:rPr>
          <w:rFonts w:ascii="Adani Regular" w:hAnsi="Adani Regular"/>
          <w:sz w:val="22"/>
          <w:szCs w:val="22"/>
          <w:lang w:val="en-US" w:eastAsia="en-US"/>
        </w:rPr>
        <w:t xml:space="preserve"> 1.25% per month) is payable by GOB. </w:t>
      </w:r>
    </w:p>
    <w:p w14:paraId="3D12880C" w14:textId="5DE4A943" w:rsidR="00C24A0C" w:rsidRPr="00CD752E" w:rsidRDefault="00C24A0C" w:rsidP="004819CB">
      <w:pPr>
        <w:pStyle w:val="ListParagraph"/>
        <w:numPr>
          <w:ilvl w:val="0"/>
          <w:numId w:val="3"/>
        </w:numPr>
        <w:autoSpaceDE w:val="0"/>
        <w:autoSpaceDN w:val="0"/>
        <w:adjustRightInd w:val="0"/>
        <w:spacing w:line="276" w:lineRule="auto"/>
        <w:ind w:right="-97"/>
        <w:jc w:val="both"/>
        <w:rPr>
          <w:rFonts w:ascii="Adani Regular" w:hAnsi="Adani Regular"/>
          <w:sz w:val="22"/>
          <w:szCs w:val="22"/>
          <w:lang w:val="en-US" w:eastAsia="en-US"/>
        </w:rPr>
      </w:pPr>
      <w:r w:rsidRPr="00CD752E">
        <w:rPr>
          <w:rFonts w:ascii="Adani Regular" w:hAnsi="Adani Regular"/>
          <w:sz w:val="22"/>
          <w:szCs w:val="22"/>
          <w:lang w:val="en-US" w:eastAsia="en-US"/>
        </w:rPr>
        <w:t>The Guarantee is governed by and is to be interpreted in accordance with the laws of England and Wales. Disputes under the guarantee are subject to SIAC arbitration in Singapore and GOB has provided a waiver of sovereign immunity.</w:t>
      </w:r>
    </w:p>
    <w:p w14:paraId="486F35A9" w14:textId="0E46E01B" w:rsidR="00CD752E" w:rsidRDefault="00CD752E" w:rsidP="00CD752E">
      <w:pPr>
        <w:autoSpaceDE w:val="0"/>
        <w:autoSpaceDN w:val="0"/>
        <w:adjustRightInd w:val="0"/>
        <w:spacing w:line="276" w:lineRule="auto"/>
        <w:ind w:right="-97"/>
        <w:jc w:val="both"/>
        <w:rPr>
          <w:rFonts w:ascii="Adani Regular" w:eastAsia="Calibri" w:hAnsi="Adani Regular" w:cs="Arial"/>
          <w:b/>
          <w:sz w:val="22"/>
          <w:szCs w:val="22"/>
        </w:rPr>
      </w:pPr>
    </w:p>
    <w:p w14:paraId="5F080480" w14:textId="51A19CA2" w:rsidR="00D11508" w:rsidRDefault="00D11508" w:rsidP="00CD752E">
      <w:pPr>
        <w:autoSpaceDE w:val="0"/>
        <w:autoSpaceDN w:val="0"/>
        <w:adjustRightInd w:val="0"/>
        <w:spacing w:line="276" w:lineRule="auto"/>
        <w:ind w:right="-97"/>
        <w:jc w:val="both"/>
        <w:rPr>
          <w:rFonts w:ascii="Adani Regular" w:eastAsia="Calibri" w:hAnsi="Adani Regular" w:cs="Arial"/>
          <w:b/>
          <w:sz w:val="22"/>
          <w:szCs w:val="22"/>
        </w:rPr>
      </w:pPr>
    </w:p>
    <w:p w14:paraId="4002CF8A" w14:textId="77777777" w:rsidR="00D11508" w:rsidRDefault="00D11508" w:rsidP="00CD752E">
      <w:pPr>
        <w:autoSpaceDE w:val="0"/>
        <w:autoSpaceDN w:val="0"/>
        <w:adjustRightInd w:val="0"/>
        <w:spacing w:line="276" w:lineRule="auto"/>
        <w:ind w:right="-97"/>
        <w:jc w:val="both"/>
        <w:rPr>
          <w:rFonts w:ascii="Adani Regular" w:eastAsia="Calibri" w:hAnsi="Adani Regular" w:cs="Arial"/>
          <w:b/>
          <w:sz w:val="22"/>
          <w:szCs w:val="22"/>
        </w:rPr>
      </w:pPr>
    </w:p>
    <w:p w14:paraId="66FE333F" w14:textId="7D15CD3A" w:rsidR="004147AD" w:rsidRPr="00CD752E" w:rsidRDefault="004147AD" w:rsidP="00CD752E">
      <w:pPr>
        <w:autoSpaceDE w:val="0"/>
        <w:autoSpaceDN w:val="0"/>
        <w:adjustRightInd w:val="0"/>
        <w:spacing w:line="276" w:lineRule="auto"/>
        <w:ind w:right="-97"/>
        <w:jc w:val="both"/>
        <w:rPr>
          <w:rFonts w:ascii="Adani Regular" w:eastAsia="Calibri" w:hAnsi="Adani Regular" w:cs="Arial"/>
          <w:b/>
          <w:sz w:val="22"/>
          <w:szCs w:val="22"/>
        </w:rPr>
      </w:pPr>
      <w:r w:rsidRPr="00CD752E">
        <w:rPr>
          <w:rFonts w:ascii="Adani Regular" w:eastAsia="Calibri" w:hAnsi="Adani Regular" w:cs="Arial"/>
          <w:b/>
          <w:sz w:val="22"/>
          <w:szCs w:val="22"/>
        </w:rPr>
        <w:t>Project Cost and Means of Finance:</w:t>
      </w:r>
    </w:p>
    <w:p w14:paraId="4100DDA4" w14:textId="77777777" w:rsidR="004147AD" w:rsidRPr="00CD752E" w:rsidRDefault="000643CB" w:rsidP="00CD752E">
      <w:pPr>
        <w:autoSpaceDE w:val="0"/>
        <w:autoSpaceDN w:val="0"/>
        <w:adjustRightInd w:val="0"/>
        <w:spacing w:line="276" w:lineRule="auto"/>
        <w:ind w:right="-97"/>
        <w:jc w:val="both"/>
        <w:rPr>
          <w:rFonts w:ascii="Adani Regular" w:eastAsia="Calibri" w:hAnsi="Adani Regular" w:cs="Arial"/>
          <w:sz w:val="22"/>
          <w:szCs w:val="22"/>
        </w:rPr>
      </w:pPr>
      <w:r w:rsidRPr="00CD752E">
        <w:rPr>
          <w:rFonts w:ascii="Adani Regular" w:eastAsia="Calibri" w:hAnsi="Adani Regular" w:cs="Arial"/>
          <w:sz w:val="22"/>
          <w:szCs w:val="22"/>
        </w:rPr>
        <w:t>The t</w:t>
      </w:r>
      <w:r w:rsidR="004147AD" w:rsidRPr="00CD752E">
        <w:rPr>
          <w:rFonts w:ascii="Adani Regular" w:eastAsia="Calibri" w:hAnsi="Adani Regular" w:cs="Arial"/>
          <w:sz w:val="22"/>
          <w:szCs w:val="22"/>
        </w:rPr>
        <w:t xml:space="preserve">otal cost of the project is assessed by REC/ PFC at Rs.14816.80 crores, which has been   funded with term debt of Rs.10075.41 crores and Promoters’ Contribution of Rs.4741.38 crores at Project DER of 68:32. The detailed break-up of the project cost is as under: </w:t>
      </w:r>
      <w:r w:rsidR="004147AD" w:rsidRPr="00CD752E">
        <w:rPr>
          <w:rFonts w:ascii="Adani Regular" w:eastAsia="Calibri" w:hAnsi="Adani Regular" w:cs="Arial"/>
          <w:sz w:val="22"/>
          <w:szCs w:val="22"/>
        </w:rPr>
        <w:tab/>
      </w:r>
    </w:p>
    <w:p w14:paraId="151A3ACC" w14:textId="77777777" w:rsidR="00225334" w:rsidRDefault="00225334" w:rsidP="00CD752E">
      <w:pPr>
        <w:autoSpaceDE w:val="0"/>
        <w:autoSpaceDN w:val="0"/>
        <w:adjustRightInd w:val="0"/>
        <w:spacing w:line="276" w:lineRule="auto"/>
        <w:ind w:right="-97"/>
        <w:jc w:val="both"/>
        <w:rPr>
          <w:rFonts w:ascii="Adani Regular" w:eastAsia="Calibri" w:hAnsi="Adani Regular" w:cs="Arial"/>
          <w:sz w:val="22"/>
          <w:szCs w:val="22"/>
        </w:rPr>
      </w:pPr>
    </w:p>
    <w:p w14:paraId="13D14E88" w14:textId="2261983E" w:rsidR="004147AD" w:rsidRPr="00CD752E" w:rsidRDefault="004147AD" w:rsidP="00CD752E">
      <w:pPr>
        <w:autoSpaceDE w:val="0"/>
        <w:autoSpaceDN w:val="0"/>
        <w:adjustRightInd w:val="0"/>
        <w:spacing w:line="276" w:lineRule="auto"/>
        <w:ind w:right="-97"/>
        <w:jc w:val="both"/>
        <w:rPr>
          <w:rFonts w:ascii="Adani Regular" w:eastAsia="Calibri" w:hAnsi="Adani Regular" w:cs="Arial"/>
          <w:sz w:val="22"/>
          <w:szCs w:val="22"/>
        </w:rPr>
      </w:pPr>
      <w:r w:rsidRPr="00CD752E">
        <w:rPr>
          <w:rFonts w:ascii="Adani Regular" w:eastAsia="Calibri" w:hAnsi="Adani Regular" w:cs="Arial"/>
          <w:sz w:val="22"/>
          <w:szCs w:val="22"/>
        </w:rPr>
        <w:tab/>
      </w:r>
      <w:r w:rsidRPr="00CD752E">
        <w:rPr>
          <w:rFonts w:ascii="Adani Regular" w:eastAsia="Calibri" w:hAnsi="Adani Regular" w:cs="Arial"/>
          <w:sz w:val="22"/>
          <w:szCs w:val="22"/>
        </w:rPr>
        <w:tab/>
      </w:r>
      <w:r w:rsidRPr="00CD752E">
        <w:rPr>
          <w:rFonts w:ascii="Adani Regular" w:eastAsia="Calibri" w:hAnsi="Adani Regular" w:cs="Arial"/>
          <w:sz w:val="22"/>
          <w:szCs w:val="22"/>
        </w:rPr>
        <w:tab/>
      </w:r>
      <w:r w:rsidRPr="00CD752E">
        <w:rPr>
          <w:rFonts w:ascii="Adani Regular" w:eastAsia="Calibri" w:hAnsi="Adani Regular" w:cs="Arial"/>
          <w:sz w:val="22"/>
          <w:szCs w:val="22"/>
        </w:rPr>
        <w:tab/>
      </w:r>
      <w:r w:rsidRPr="00CD752E">
        <w:rPr>
          <w:rFonts w:ascii="Adani Regular" w:eastAsia="Calibri" w:hAnsi="Adani Regular" w:cs="Arial"/>
          <w:sz w:val="22"/>
          <w:szCs w:val="22"/>
        </w:rPr>
        <w:tab/>
      </w:r>
      <w:r w:rsidRPr="00CD752E">
        <w:rPr>
          <w:rFonts w:ascii="Adani Regular" w:eastAsia="Calibri" w:hAnsi="Adani Regular" w:cs="Arial"/>
          <w:sz w:val="22"/>
          <w:szCs w:val="22"/>
        </w:rPr>
        <w:tab/>
      </w:r>
      <w:r w:rsidRPr="00CD752E">
        <w:rPr>
          <w:rFonts w:ascii="Adani Regular" w:eastAsia="Calibri" w:hAnsi="Adani Regular" w:cs="Arial"/>
          <w:sz w:val="22"/>
          <w:szCs w:val="22"/>
        </w:rPr>
        <w:tab/>
      </w:r>
      <w:r w:rsidRPr="00CD752E">
        <w:rPr>
          <w:rFonts w:ascii="Adani Regular" w:eastAsia="Calibri" w:hAnsi="Adani Regular" w:cs="Arial"/>
          <w:sz w:val="22"/>
          <w:szCs w:val="22"/>
        </w:rPr>
        <w:tab/>
      </w:r>
      <w:r w:rsidRPr="00CD752E">
        <w:rPr>
          <w:rFonts w:ascii="Adani Regular" w:eastAsia="Calibri" w:hAnsi="Adani Regular" w:cs="Arial"/>
          <w:sz w:val="22"/>
          <w:szCs w:val="22"/>
        </w:rPr>
        <w:tab/>
      </w:r>
      <w:r w:rsidRPr="00CD752E">
        <w:rPr>
          <w:rFonts w:ascii="Adani Regular" w:eastAsia="Calibri" w:hAnsi="Adani Regular" w:cs="Arial"/>
          <w:sz w:val="22"/>
          <w:szCs w:val="22"/>
        </w:rPr>
        <w:tab/>
        <w:t>(Rs. in crore)</w:t>
      </w:r>
    </w:p>
    <w:tbl>
      <w:tblPr>
        <w:tblW w:w="2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6"/>
        <w:gridCol w:w="1798"/>
      </w:tblGrid>
      <w:tr w:rsidR="009E1C00" w:rsidRPr="00CD752E" w14:paraId="4ED3FBF8" w14:textId="77777777" w:rsidTr="009E1C00">
        <w:trPr>
          <w:trHeight w:val="305"/>
          <w:jc w:val="center"/>
        </w:trPr>
        <w:tc>
          <w:tcPr>
            <w:tcW w:w="3276" w:type="pct"/>
            <w:tcBorders>
              <w:top w:val="single" w:sz="4" w:space="0" w:color="auto"/>
              <w:left w:val="single" w:sz="4" w:space="0" w:color="auto"/>
              <w:bottom w:val="single" w:sz="4" w:space="0" w:color="auto"/>
              <w:right w:val="single" w:sz="4" w:space="0" w:color="auto"/>
            </w:tcBorders>
            <w:hideMark/>
          </w:tcPr>
          <w:p w14:paraId="5FBE7479" w14:textId="77777777" w:rsidR="009E1C00" w:rsidRPr="00CD752E" w:rsidRDefault="009E1C00" w:rsidP="00CD752E">
            <w:pPr>
              <w:autoSpaceDE w:val="0"/>
              <w:autoSpaceDN w:val="0"/>
              <w:adjustRightInd w:val="0"/>
              <w:spacing w:line="276" w:lineRule="auto"/>
              <w:jc w:val="center"/>
              <w:rPr>
                <w:rFonts w:ascii="Adani Regular" w:eastAsia="Calibri" w:hAnsi="Adani Regular" w:cs="Arial"/>
                <w:b/>
                <w:bCs/>
                <w:sz w:val="22"/>
                <w:szCs w:val="22"/>
              </w:rPr>
            </w:pPr>
            <w:r w:rsidRPr="00CD752E">
              <w:rPr>
                <w:rFonts w:ascii="Adani Regular" w:eastAsia="Calibri" w:hAnsi="Adani Regular" w:cs="Arial"/>
                <w:b/>
                <w:bCs/>
                <w:sz w:val="22"/>
                <w:szCs w:val="22"/>
              </w:rPr>
              <w:t>Project Cost</w:t>
            </w:r>
          </w:p>
        </w:tc>
        <w:tc>
          <w:tcPr>
            <w:tcW w:w="1724" w:type="pct"/>
            <w:tcBorders>
              <w:top w:val="single" w:sz="4" w:space="0" w:color="auto"/>
              <w:left w:val="single" w:sz="4" w:space="0" w:color="auto"/>
              <w:bottom w:val="single" w:sz="4" w:space="0" w:color="auto"/>
              <w:right w:val="single" w:sz="4" w:space="0" w:color="auto"/>
            </w:tcBorders>
            <w:hideMark/>
          </w:tcPr>
          <w:p w14:paraId="28872139" w14:textId="77777777" w:rsidR="009E1C00" w:rsidRPr="00CD752E" w:rsidRDefault="009E1C00" w:rsidP="00CD752E">
            <w:pPr>
              <w:autoSpaceDE w:val="0"/>
              <w:autoSpaceDN w:val="0"/>
              <w:adjustRightInd w:val="0"/>
              <w:spacing w:line="276" w:lineRule="auto"/>
              <w:jc w:val="center"/>
              <w:rPr>
                <w:rFonts w:ascii="Adani Regular" w:eastAsia="Calibri" w:hAnsi="Adani Regular" w:cs="Arial"/>
                <w:b/>
                <w:bCs/>
                <w:sz w:val="22"/>
                <w:szCs w:val="22"/>
              </w:rPr>
            </w:pPr>
            <w:r w:rsidRPr="00CD752E">
              <w:rPr>
                <w:rFonts w:ascii="Adani Regular" w:eastAsia="Calibri" w:hAnsi="Adani Regular" w:cs="Arial"/>
                <w:b/>
                <w:bCs/>
                <w:sz w:val="22"/>
                <w:szCs w:val="22"/>
              </w:rPr>
              <w:t xml:space="preserve">Approved Cost </w:t>
            </w:r>
          </w:p>
        </w:tc>
      </w:tr>
      <w:tr w:rsidR="009E1C00" w:rsidRPr="00CD752E" w14:paraId="2261261B" w14:textId="77777777" w:rsidTr="009E1C00">
        <w:trPr>
          <w:trHeight w:val="70"/>
          <w:jc w:val="center"/>
        </w:trPr>
        <w:tc>
          <w:tcPr>
            <w:tcW w:w="3276" w:type="pct"/>
            <w:tcBorders>
              <w:top w:val="single" w:sz="4" w:space="0" w:color="auto"/>
              <w:left w:val="single" w:sz="4" w:space="0" w:color="auto"/>
              <w:bottom w:val="single" w:sz="4" w:space="0" w:color="auto"/>
              <w:right w:val="single" w:sz="4" w:space="0" w:color="auto"/>
            </w:tcBorders>
            <w:vAlign w:val="center"/>
            <w:hideMark/>
          </w:tcPr>
          <w:p w14:paraId="35762E70" w14:textId="77777777" w:rsidR="009E1C00" w:rsidRPr="00CD752E" w:rsidRDefault="009E1C00" w:rsidP="00CD752E">
            <w:pPr>
              <w:spacing w:line="276" w:lineRule="auto"/>
              <w:rPr>
                <w:rFonts w:ascii="Adani Regular" w:hAnsi="Adani Regular" w:cs="Arial"/>
                <w:sz w:val="22"/>
                <w:szCs w:val="22"/>
              </w:rPr>
            </w:pPr>
            <w:r w:rsidRPr="00CD752E">
              <w:rPr>
                <w:rFonts w:ascii="Adani Regular" w:hAnsi="Adani Regular" w:cs="Arial"/>
                <w:sz w:val="22"/>
                <w:szCs w:val="22"/>
              </w:rPr>
              <w:lastRenderedPageBreak/>
              <w:t xml:space="preserve"> Land </w:t>
            </w:r>
          </w:p>
        </w:tc>
        <w:tc>
          <w:tcPr>
            <w:tcW w:w="1724" w:type="pct"/>
            <w:tcBorders>
              <w:top w:val="single" w:sz="4" w:space="0" w:color="auto"/>
              <w:left w:val="single" w:sz="4" w:space="0" w:color="auto"/>
              <w:bottom w:val="single" w:sz="4" w:space="0" w:color="auto"/>
              <w:right w:val="single" w:sz="4" w:space="0" w:color="auto"/>
            </w:tcBorders>
            <w:vAlign w:val="center"/>
            <w:hideMark/>
          </w:tcPr>
          <w:p w14:paraId="11E05442" w14:textId="77777777" w:rsidR="009E1C00" w:rsidRPr="00CD752E" w:rsidRDefault="009E1C00" w:rsidP="00CD752E">
            <w:pPr>
              <w:spacing w:line="276" w:lineRule="auto"/>
              <w:jc w:val="center"/>
              <w:rPr>
                <w:rFonts w:ascii="Adani Regular" w:hAnsi="Adani Regular" w:cs="Arial"/>
                <w:sz w:val="22"/>
                <w:szCs w:val="22"/>
              </w:rPr>
            </w:pPr>
            <w:r w:rsidRPr="00CD752E">
              <w:rPr>
                <w:rFonts w:ascii="Adani Regular" w:hAnsi="Adani Regular" w:cs="Arial"/>
                <w:sz w:val="22"/>
                <w:szCs w:val="22"/>
              </w:rPr>
              <w:t>1,050.00</w:t>
            </w:r>
          </w:p>
        </w:tc>
      </w:tr>
      <w:tr w:rsidR="009E1C00" w:rsidRPr="00CD752E" w14:paraId="5D2D94B3" w14:textId="77777777" w:rsidTr="009E1C00">
        <w:trPr>
          <w:trHeight w:val="248"/>
          <w:jc w:val="center"/>
        </w:trPr>
        <w:tc>
          <w:tcPr>
            <w:tcW w:w="3276" w:type="pct"/>
            <w:tcBorders>
              <w:top w:val="single" w:sz="4" w:space="0" w:color="auto"/>
              <w:left w:val="single" w:sz="4" w:space="0" w:color="auto"/>
              <w:bottom w:val="single" w:sz="4" w:space="0" w:color="auto"/>
              <w:right w:val="single" w:sz="4" w:space="0" w:color="auto"/>
            </w:tcBorders>
            <w:vAlign w:val="center"/>
            <w:hideMark/>
          </w:tcPr>
          <w:p w14:paraId="03FF92AF" w14:textId="77777777" w:rsidR="009E1C00" w:rsidRPr="00CD752E" w:rsidRDefault="009E1C00" w:rsidP="00CD752E">
            <w:pPr>
              <w:spacing w:line="276" w:lineRule="auto"/>
              <w:rPr>
                <w:rFonts w:ascii="Adani Regular" w:hAnsi="Adani Regular" w:cs="Arial"/>
                <w:sz w:val="22"/>
                <w:szCs w:val="22"/>
              </w:rPr>
            </w:pPr>
            <w:r w:rsidRPr="00CD752E">
              <w:rPr>
                <w:rFonts w:ascii="Adani Regular" w:hAnsi="Adani Regular" w:cs="Arial"/>
                <w:sz w:val="22"/>
                <w:szCs w:val="22"/>
              </w:rPr>
              <w:t xml:space="preserve"> EPC Contract </w:t>
            </w:r>
          </w:p>
        </w:tc>
        <w:tc>
          <w:tcPr>
            <w:tcW w:w="1724" w:type="pct"/>
            <w:tcBorders>
              <w:top w:val="single" w:sz="4" w:space="0" w:color="auto"/>
              <w:left w:val="single" w:sz="4" w:space="0" w:color="auto"/>
              <w:bottom w:val="single" w:sz="4" w:space="0" w:color="auto"/>
              <w:right w:val="single" w:sz="4" w:space="0" w:color="auto"/>
            </w:tcBorders>
            <w:vAlign w:val="center"/>
            <w:hideMark/>
          </w:tcPr>
          <w:p w14:paraId="7EAAF1E0" w14:textId="77777777" w:rsidR="009E1C00" w:rsidRPr="00CD752E" w:rsidRDefault="009E1C00" w:rsidP="00CD752E">
            <w:pPr>
              <w:spacing w:line="276" w:lineRule="auto"/>
              <w:jc w:val="center"/>
              <w:rPr>
                <w:rFonts w:ascii="Adani Regular" w:hAnsi="Adani Regular" w:cs="Arial"/>
                <w:sz w:val="22"/>
                <w:szCs w:val="22"/>
              </w:rPr>
            </w:pPr>
            <w:r w:rsidRPr="00CD752E">
              <w:rPr>
                <w:rFonts w:ascii="Adani Regular" w:hAnsi="Adani Regular" w:cs="Arial"/>
                <w:sz w:val="22"/>
                <w:szCs w:val="22"/>
              </w:rPr>
              <w:t>10,065.83</w:t>
            </w:r>
          </w:p>
        </w:tc>
      </w:tr>
      <w:tr w:rsidR="009E1C00" w:rsidRPr="00CD752E" w14:paraId="0656156F"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vAlign w:val="center"/>
            <w:hideMark/>
          </w:tcPr>
          <w:p w14:paraId="38AE78CF" w14:textId="77777777" w:rsidR="009E1C00" w:rsidRPr="00CD752E" w:rsidRDefault="009E1C00" w:rsidP="00CD752E">
            <w:pPr>
              <w:spacing w:line="276" w:lineRule="auto"/>
              <w:rPr>
                <w:rFonts w:ascii="Adani Regular" w:hAnsi="Adani Regular" w:cs="Arial"/>
                <w:sz w:val="22"/>
                <w:szCs w:val="22"/>
              </w:rPr>
            </w:pPr>
            <w:r w:rsidRPr="00CD752E">
              <w:rPr>
                <w:rFonts w:ascii="Adani Regular" w:hAnsi="Adani Regular" w:cs="Arial"/>
                <w:sz w:val="22"/>
                <w:szCs w:val="22"/>
              </w:rPr>
              <w:t xml:space="preserve"> Pre - operative Expenses </w:t>
            </w:r>
          </w:p>
        </w:tc>
        <w:tc>
          <w:tcPr>
            <w:tcW w:w="1724" w:type="pct"/>
            <w:tcBorders>
              <w:top w:val="single" w:sz="4" w:space="0" w:color="auto"/>
              <w:left w:val="single" w:sz="4" w:space="0" w:color="auto"/>
              <w:bottom w:val="single" w:sz="4" w:space="0" w:color="auto"/>
              <w:right w:val="single" w:sz="4" w:space="0" w:color="auto"/>
            </w:tcBorders>
            <w:vAlign w:val="center"/>
            <w:hideMark/>
          </w:tcPr>
          <w:p w14:paraId="185D789D" w14:textId="77777777" w:rsidR="009E1C00" w:rsidRPr="00CD752E" w:rsidRDefault="009E1C00" w:rsidP="00CD752E">
            <w:pPr>
              <w:spacing w:line="276" w:lineRule="auto"/>
              <w:jc w:val="center"/>
              <w:rPr>
                <w:rFonts w:ascii="Adani Regular" w:hAnsi="Adani Regular" w:cs="Arial"/>
                <w:sz w:val="22"/>
                <w:szCs w:val="22"/>
              </w:rPr>
            </w:pPr>
            <w:r w:rsidRPr="00CD752E">
              <w:rPr>
                <w:rFonts w:ascii="Adani Regular" w:hAnsi="Adani Regular" w:cs="Arial"/>
                <w:sz w:val="22"/>
                <w:szCs w:val="22"/>
              </w:rPr>
              <w:t>346.54</w:t>
            </w:r>
          </w:p>
        </w:tc>
      </w:tr>
      <w:tr w:rsidR="009E1C00" w:rsidRPr="00CD752E" w14:paraId="66918B77"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vAlign w:val="center"/>
            <w:hideMark/>
          </w:tcPr>
          <w:p w14:paraId="2F80F30E" w14:textId="77777777" w:rsidR="009E1C00" w:rsidRPr="00CD752E" w:rsidRDefault="009E1C00" w:rsidP="00CD752E">
            <w:pPr>
              <w:spacing w:line="276" w:lineRule="auto"/>
              <w:rPr>
                <w:rFonts w:ascii="Adani Regular" w:hAnsi="Adani Regular" w:cs="Arial"/>
                <w:sz w:val="22"/>
                <w:szCs w:val="22"/>
              </w:rPr>
            </w:pPr>
            <w:r w:rsidRPr="00CD752E">
              <w:rPr>
                <w:rFonts w:ascii="Adani Regular" w:hAnsi="Adani Regular" w:cs="Arial"/>
                <w:sz w:val="22"/>
                <w:szCs w:val="22"/>
              </w:rPr>
              <w:t xml:space="preserve"> Financing Charges  </w:t>
            </w:r>
          </w:p>
        </w:tc>
        <w:tc>
          <w:tcPr>
            <w:tcW w:w="1724" w:type="pct"/>
            <w:tcBorders>
              <w:top w:val="single" w:sz="4" w:space="0" w:color="auto"/>
              <w:left w:val="single" w:sz="4" w:space="0" w:color="auto"/>
              <w:bottom w:val="single" w:sz="4" w:space="0" w:color="auto"/>
              <w:right w:val="single" w:sz="4" w:space="0" w:color="auto"/>
            </w:tcBorders>
            <w:vAlign w:val="center"/>
            <w:hideMark/>
          </w:tcPr>
          <w:p w14:paraId="00F92E9D" w14:textId="77777777" w:rsidR="009E1C00" w:rsidRPr="00CD752E" w:rsidRDefault="009E1C00" w:rsidP="00CD752E">
            <w:pPr>
              <w:spacing w:line="276" w:lineRule="auto"/>
              <w:jc w:val="center"/>
              <w:rPr>
                <w:rFonts w:ascii="Adani Regular" w:hAnsi="Adani Regular" w:cs="Arial"/>
                <w:sz w:val="22"/>
                <w:szCs w:val="22"/>
              </w:rPr>
            </w:pPr>
            <w:r w:rsidRPr="00CD752E">
              <w:rPr>
                <w:rFonts w:ascii="Adani Regular" w:hAnsi="Adani Regular" w:cs="Arial"/>
                <w:sz w:val="22"/>
                <w:szCs w:val="22"/>
              </w:rPr>
              <w:t>476.56</w:t>
            </w:r>
          </w:p>
        </w:tc>
      </w:tr>
      <w:tr w:rsidR="009E1C00" w:rsidRPr="00CD752E" w14:paraId="1A0BE809"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vAlign w:val="center"/>
            <w:hideMark/>
          </w:tcPr>
          <w:p w14:paraId="78A04226" w14:textId="77777777" w:rsidR="009E1C00" w:rsidRPr="00CD752E" w:rsidRDefault="009E1C00" w:rsidP="00CD752E">
            <w:pPr>
              <w:spacing w:line="276" w:lineRule="auto"/>
              <w:rPr>
                <w:rFonts w:ascii="Adani Regular" w:hAnsi="Adani Regular" w:cs="Arial"/>
                <w:sz w:val="22"/>
                <w:szCs w:val="22"/>
              </w:rPr>
            </w:pPr>
            <w:r w:rsidRPr="00CD752E">
              <w:rPr>
                <w:rFonts w:ascii="Adani Regular" w:hAnsi="Adani Regular" w:cs="Arial"/>
                <w:sz w:val="22"/>
                <w:szCs w:val="22"/>
              </w:rPr>
              <w:t xml:space="preserve"> Margin Money </w:t>
            </w:r>
          </w:p>
        </w:tc>
        <w:tc>
          <w:tcPr>
            <w:tcW w:w="1724" w:type="pct"/>
            <w:tcBorders>
              <w:top w:val="single" w:sz="4" w:space="0" w:color="auto"/>
              <w:left w:val="single" w:sz="4" w:space="0" w:color="auto"/>
              <w:bottom w:val="single" w:sz="4" w:space="0" w:color="auto"/>
              <w:right w:val="single" w:sz="4" w:space="0" w:color="auto"/>
            </w:tcBorders>
            <w:vAlign w:val="center"/>
            <w:hideMark/>
          </w:tcPr>
          <w:p w14:paraId="3716978D" w14:textId="77777777" w:rsidR="009E1C00" w:rsidRPr="00CD752E" w:rsidRDefault="009E1C00" w:rsidP="00CD752E">
            <w:pPr>
              <w:spacing w:line="276" w:lineRule="auto"/>
              <w:jc w:val="center"/>
              <w:rPr>
                <w:rFonts w:ascii="Adani Regular" w:hAnsi="Adani Regular" w:cs="Arial"/>
                <w:sz w:val="22"/>
                <w:szCs w:val="22"/>
              </w:rPr>
            </w:pPr>
            <w:r w:rsidRPr="00CD752E">
              <w:rPr>
                <w:rFonts w:ascii="Adani Regular" w:hAnsi="Adani Regular" w:cs="Arial"/>
                <w:sz w:val="22"/>
                <w:szCs w:val="22"/>
              </w:rPr>
              <w:t>643.71</w:t>
            </w:r>
          </w:p>
        </w:tc>
      </w:tr>
      <w:tr w:rsidR="009E1C00" w:rsidRPr="00CD752E" w14:paraId="4419B07E"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vAlign w:val="center"/>
            <w:hideMark/>
          </w:tcPr>
          <w:p w14:paraId="55D17437" w14:textId="77777777" w:rsidR="009E1C00" w:rsidRPr="00CD752E" w:rsidRDefault="009E1C00" w:rsidP="00CD752E">
            <w:pPr>
              <w:spacing w:line="276" w:lineRule="auto"/>
              <w:rPr>
                <w:rFonts w:ascii="Adani Regular" w:hAnsi="Adani Regular" w:cs="Arial"/>
                <w:sz w:val="22"/>
                <w:szCs w:val="22"/>
              </w:rPr>
            </w:pPr>
            <w:r w:rsidRPr="00CD752E">
              <w:rPr>
                <w:rFonts w:ascii="Adani Regular" w:hAnsi="Adani Regular" w:cs="Arial"/>
                <w:sz w:val="22"/>
                <w:szCs w:val="22"/>
              </w:rPr>
              <w:t xml:space="preserve"> IDC</w:t>
            </w:r>
          </w:p>
        </w:tc>
        <w:tc>
          <w:tcPr>
            <w:tcW w:w="1724" w:type="pct"/>
            <w:tcBorders>
              <w:top w:val="single" w:sz="4" w:space="0" w:color="auto"/>
              <w:left w:val="single" w:sz="4" w:space="0" w:color="auto"/>
              <w:bottom w:val="single" w:sz="4" w:space="0" w:color="auto"/>
              <w:right w:val="single" w:sz="4" w:space="0" w:color="auto"/>
            </w:tcBorders>
            <w:vAlign w:val="center"/>
            <w:hideMark/>
          </w:tcPr>
          <w:p w14:paraId="5F643EBD" w14:textId="77777777" w:rsidR="009E1C00" w:rsidRPr="00CD752E" w:rsidRDefault="009E1C00" w:rsidP="00CD752E">
            <w:pPr>
              <w:spacing w:line="276" w:lineRule="auto"/>
              <w:jc w:val="center"/>
              <w:rPr>
                <w:rFonts w:ascii="Adani Regular" w:hAnsi="Adani Regular" w:cs="Arial"/>
                <w:sz w:val="22"/>
                <w:szCs w:val="22"/>
              </w:rPr>
            </w:pPr>
            <w:r w:rsidRPr="00CD752E">
              <w:rPr>
                <w:rFonts w:ascii="Adani Regular" w:hAnsi="Adani Regular" w:cs="Arial"/>
                <w:sz w:val="22"/>
                <w:szCs w:val="22"/>
              </w:rPr>
              <w:t>2,004.92</w:t>
            </w:r>
          </w:p>
        </w:tc>
      </w:tr>
      <w:tr w:rsidR="009E1C00" w:rsidRPr="00CD752E" w14:paraId="197AC5DB"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vAlign w:val="center"/>
          </w:tcPr>
          <w:p w14:paraId="2894AE9D" w14:textId="77777777" w:rsidR="009E1C00" w:rsidRPr="00CD752E" w:rsidRDefault="009E1C00" w:rsidP="00CD752E">
            <w:pPr>
              <w:spacing w:line="276" w:lineRule="auto"/>
              <w:rPr>
                <w:rFonts w:ascii="Adani Regular" w:hAnsi="Adani Regular" w:cs="Arial"/>
                <w:sz w:val="22"/>
                <w:szCs w:val="22"/>
              </w:rPr>
            </w:pPr>
            <w:r w:rsidRPr="00CD752E">
              <w:rPr>
                <w:rFonts w:ascii="Adani Regular" w:hAnsi="Adani Regular" w:cs="Arial"/>
                <w:sz w:val="22"/>
                <w:szCs w:val="22"/>
              </w:rPr>
              <w:t xml:space="preserve"> Contingency </w:t>
            </w:r>
          </w:p>
        </w:tc>
        <w:tc>
          <w:tcPr>
            <w:tcW w:w="1724" w:type="pct"/>
            <w:tcBorders>
              <w:top w:val="single" w:sz="4" w:space="0" w:color="auto"/>
              <w:left w:val="single" w:sz="4" w:space="0" w:color="auto"/>
              <w:bottom w:val="single" w:sz="4" w:space="0" w:color="auto"/>
              <w:right w:val="single" w:sz="4" w:space="0" w:color="auto"/>
            </w:tcBorders>
            <w:vAlign w:val="center"/>
          </w:tcPr>
          <w:p w14:paraId="6AFB7288" w14:textId="77777777" w:rsidR="009E1C00" w:rsidRPr="00CD752E" w:rsidRDefault="009E1C00" w:rsidP="00CD752E">
            <w:pPr>
              <w:spacing w:line="276" w:lineRule="auto"/>
              <w:jc w:val="center"/>
              <w:rPr>
                <w:rFonts w:ascii="Adani Regular" w:hAnsi="Adani Regular" w:cs="Arial"/>
                <w:sz w:val="22"/>
                <w:szCs w:val="22"/>
              </w:rPr>
            </w:pPr>
            <w:r w:rsidRPr="00CD752E">
              <w:rPr>
                <w:rFonts w:ascii="Adani Regular" w:hAnsi="Adani Regular" w:cs="Arial"/>
                <w:sz w:val="22"/>
                <w:szCs w:val="22"/>
              </w:rPr>
              <w:t>229.24</w:t>
            </w:r>
          </w:p>
        </w:tc>
      </w:tr>
      <w:tr w:rsidR="009E1C00" w:rsidRPr="00CD752E" w14:paraId="43AB9094"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vAlign w:val="bottom"/>
            <w:hideMark/>
          </w:tcPr>
          <w:p w14:paraId="16051B82" w14:textId="77777777" w:rsidR="009E1C00" w:rsidRPr="00CD752E" w:rsidRDefault="009E1C00" w:rsidP="00CD752E">
            <w:pPr>
              <w:spacing w:line="276" w:lineRule="auto"/>
              <w:rPr>
                <w:rFonts w:ascii="Adani Regular" w:hAnsi="Adani Regular" w:cs="Arial"/>
                <w:b/>
                <w:bCs/>
                <w:sz w:val="22"/>
                <w:szCs w:val="22"/>
              </w:rPr>
            </w:pPr>
            <w:r w:rsidRPr="00CD752E">
              <w:rPr>
                <w:rFonts w:ascii="Adani Regular" w:hAnsi="Adani Regular" w:cs="Arial"/>
                <w:b/>
                <w:bCs/>
                <w:sz w:val="22"/>
                <w:szCs w:val="22"/>
              </w:rPr>
              <w:t>Total Project Cost</w:t>
            </w:r>
          </w:p>
        </w:tc>
        <w:tc>
          <w:tcPr>
            <w:tcW w:w="1724" w:type="pct"/>
            <w:tcBorders>
              <w:top w:val="single" w:sz="4" w:space="0" w:color="auto"/>
              <w:left w:val="single" w:sz="4" w:space="0" w:color="auto"/>
              <w:bottom w:val="single" w:sz="4" w:space="0" w:color="auto"/>
              <w:right w:val="single" w:sz="4" w:space="0" w:color="auto"/>
            </w:tcBorders>
            <w:vAlign w:val="center"/>
            <w:hideMark/>
          </w:tcPr>
          <w:p w14:paraId="5CFCFF80" w14:textId="77777777" w:rsidR="009E1C00" w:rsidRPr="00CD752E" w:rsidRDefault="009E1C00" w:rsidP="00CD752E">
            <w:pPr>
              <w:spacing w:line="276" w:lineRule="auto"/>
              <w:jc w:val="center"/>
              <w:rPr>
                <w:rFonts w:ascii="Adani Regular" w:hAnsi="Adani Regular" w:cs="Arial"/>
                <w:b/>
                <w:bCs/>
                <w:sz w:val="22"/>
                <w:szCs w:val="22"/>
              </w:rPr>
            </w:pPr>
            <w:r w:rsidRPr="00CD752E">
              <w:rPr>
                <w:rFonts w:ascii="Adani Regular" w:hAnsi="Adani Regular" w:cs="Arial"/>
                <w:b/>
                <w:bCs/>
                <w:sz w:val="22"/>
                <w:szCs w:val="22"/>
              </w:rPr>
              <w:fldChar w:fldCharType="begin"/>
            </w:r>
            <w:r w:rsidRPr="00CD752E">
              <w:rPr>
                <w:rFonts w:ascii="Adani Regular" w:hAnsi="Adani Regular" w:cs="Arial"/>
                <w:b/>
                <w:bCs/>
                <w:sz w:val="22"/>
                <w:szCs w:val="22"/>
              </w:rPr>
              <w:instrText xml:space="preserve"> =SUM(ABOVE) </w:instrText>
            </w:r>
            <w:r w:rsidRPr="00CD752E">
              <w:rPr>
                <w:rFonts w:ascii="Adani Regular" w:hAnsi="Adani Regular" w:cs="Arial"/>
                <w:b/>
                <w:bCs/>
                <w:sz w:val="22"/>
                <w:szCs w:val="22"/>
              </w:rPr>
              <w:fldChar w:fldCharType="separate"/>
            </w:r>
            <w:r w:rsidRPr="00CD752E">
              <w:rPr>
                <w:rFonts w:ascii="Adani Regular" w:hAnsi="Adani Regular" w:cs="Arial"/>
                <w:b/>
                <w:bCs/>
                <w:noProof/>
                <w:sz w:val="22"/>
                <w:szCs w:val="22"/>
              </w:rPr>
              <w:t>14,816.8</w:t>
            </w:r>
            <w:r w:rsidRPr="00CD752E">
              <w:rPr>
                <w:rFonts w:ascii="Adani Regular" w:hAnsi="Adani Regular" w:cs="Arial"/>
                <w:b/>
                <w:bCs/>
                <w:sz w:val="22"/>
                <w:szCs w:val="22"/>
              </w:rPr>
              <w:fldChar w:fldCharType="end"/>
            </w:r>
            <w:r w:rsidRPr="00CD752E">
              <w:rPr>
                <w:rFonts w:ascii="Adani Regular" w:hAnsi="Adani Regular" w:cs="Arial"/>
                <w:b/>
                <w:bCs/>
                <w:sz w:val="22"/>
                <w:szCs w:val="22"/>
              </w:rPr>
              <w:t>0</w:t>
            </w:r>
          </w:p>
        </w:tc>
      </w:tr>
      <w:tr w:rsidR="009E1C00" w:rsidRPr="00CD752E" w14:paraId="1A6C62BC"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vAlign w:val="bottom"/>
          </w:tcPr>
          <w:p w14:paraId="27D6550F" w14:textId="77777777" w:rsidR="009E1C00" w:rsidRPr="00CD752E" w:rsidRDefault="009E1C00" w:rsidP="00CD752E">
            <w:pPr>
              <w:spacing w:line="276" w:lineRule="auto"/>
              <w:rPr>
                <w:rFonts w:ascii="Adani Regular" w:hAnsi="Adani Regular" w:cs="Arial"/>
                <w:b/>
                <w:bCs/>
                <w:sz w:val="22"/>
                <w:szCs w:val="22"/>
              </w:rPr>
            </w:pPr>
          </w:p>
        </w:tc>
        <w:tc>
          <w:tcPr>
            <w:tcW w:w="1724" w:type="pct"/>
            <w:tcBorders>
              <w:top w:val="single" w:sz="4" w:space="0" w:color="auto"/>
              <w:left w:val="single" w:sz="4" w:space="0" w:color="auto"/>
              <w:bottom w:val="single" w:sz="4" w:space="0" w:color="auto"/>
              <w:right w:val="single" w:sz="4" w:space="0" w:color="auto"/>
            </w:tcBorders>
            <w:vAlign w:val="center"/>
          </w:tcPr>
          <w:p w14:paraId="6489EB60" w14:textId="77777777" w:rsidR="009E1C00" w:rsidRPr="00CD752E" w:rsidRDefault="009E1C00" w:rsidP="00CD752E">
            <w:pPr>
              <w:spacing w:line="276" w:lineRule="auto"/>
              <w:jc w:val="center"/>
              <w:rPr>
                <w:rFonts w:ascii="Adani Regular" w:hAnsi="Adani Regular" w:cs="Arial"/>
                <w:b/>
                <w:bCs/>
                <w:sz w:val="22"/>
                <w:szCs w:val="22"/>
              </w:rPr>
            </w:pPr>
          </w:p>
        </w:tc>
      </w:tr>
      <w:tr w:rsidR="009E1C00" w:rsidRPr="00CD752E" w14:paraId="6BF93ACF"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vAlign w:val="bottom"/>
          </w:tcPr>
          <w:p w14:paraId="4B1496B2" w14:textId="77777777" w:rsidR="009E1C00" w:rsidRPr="00CD752E" w:rsidRDefault="009E1C00" w:rsidP="00CD752E">
            <w:pPr>
              <w:spacing w:line="276" w:lineRule="auto"/>
              <w:rPr>
                <w:rFonts w:ascii="Adani Regular" w:hAnsi="Adani Regular" w:cs="Arial"/>
                <w:b/>
                <w:bCs/>
                <w:sz w:val="22"/>
                <w:szCs w:val="22"/>
              </w:rPr>
            </w:pPr>
            <w:r w:rsidRPr="00CD752E">
              <w:rPr>
                <w:rFonts w:ascii="Adani Regular" w:eastAsia="Calibri" w:hAnsi="Adani Regular" w:cs="Arial"/>
                <w:b/>
                <w:bCs/>
                <w:sz w:val="22"/>
                <w:szCs w:val="22"/>
              </w:rPr>
              <w:t>Means of finance</w:t>
            </w:r>
          </w:p>
        </w:tc>
        <w:tc>
          <w:tcPr>
            <w:tcW w:w="1724" w:type="pct"/>
            <w:tcBorders>
              <w:top w:val="single" w:sz="4" w:space="0" w:color="auto"/>
              <w:left w:val="single" w:sz="4" w:space="0" w:color="auto"/>
              <w:bottom w:val="single" w:sz="4" w:space="0" w:color="auto"/>
              <w:right w:val="single" w:sz="4" w:space="0" w:color="auto"/>
            </w:tcBorders>
            <w:vAlign w:val="center"/>
          </w:tcPr>
          <w:p w14:paraId="6FE600AE" w14:textId="77777777" w:rsidR="009E1C00" w:rsidRPr="00CD752E" w:rsidRDefault="009E1C00" w:rsidP="00CD752E">
            <w:pPr>
              <w:spacing w:line="276" w:lineRule="auto"/>
              <w:jc w:val="center"/>
              <w:rPr>
                <w:rFonts w:ascii="Adani Regular" w:hAnsi="Adani Regular" w:cs="Arial"/>
                <w:b/>
                <w:bCs/>
                <w:sz w:val="22"/>
                <w:szCs w:val="22"/>
              </w:rPr>
            </w:pPr>
          </w:p>
        </w:tc>
      </w:tr>
      <w:tr w:rsidR="009E1C00" w:rsidRPr="00CD752E" w14:paraId="7E02AC1D"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tcPr>
          <w:p w14:paraId="5351FFA6" w14:textId="77777777" w:rsidR="009E1C00" w:rsidRPr="00CD752E" w:rsidRDefault="009E1C00" w:rsidP="00CD752E">
            <w:pPr>
              <w:autoSpaceDE w:val="0"/>
              <w:autoSpaceDN w:val="0"/>
              <w:adjustRightInd w:val="0"/>
              <w:spacing w:line="276" w:lineRule="auto"/>
              <w:jc w:val="both"/>
              <w:rPr>
                <w:rFonts w:ascii="Adani Regular" w:eastAsia="Calibri" w:hAnsi="Adani Regular" w:cs="Arial"/>
                <w:sz w:val="22"/>
                <w:szCs w:val="22"/>
              </w:rPr>
            </w:pPr>
            <w:r w:rsidRPr="00CD752E">
              <w:rPr>
                <w:rFonts w:ascii="Adani Regular" w:eastAsia="Calibri" w:hAnsi="Adani Regular" w:cs="Arial"/>
                <w:sz w:val="22"/>
                <w:szCs w:val="22"/>
              </w:rPr>
              <w:t>Promoter Contribution</w:t>
            </w:r>
          </w:p>
        </w:tc>
        <w:tc>
          <w:tcPr>
            <w:tcW w:w="1724" w:type="pct"/>
            <w:tcBorders>
              <w:top w:val="single" w:sz="4" w:space="0" w:color="auto"/>
              <w:left w:val="single" w:sz="4" w:space="0" w:color="auto"/>
              <w:bottom w:val="single" w:sz="4" w:space="0" w:color="auto"/>
              <w:right w:val="single" w:sz="4" w:space="0" w:color="auto"/>
            </w:tcBorders>
          </w:tcPr>
          <w:p w14:paraId="0BC9653D" w14:textId="77777777" w:rsidR="009E1C00" w:rsidRPr="00CD752E" w:rsidRDefault="009E1C00" w:rsidP="00CD752E">
            <w:pPr>
              <w:autoSpaceDE w:val="0"/>
              <w:autoSpaceDN w:val="0"/>
              <w:adjustRightInd w:val="0"/>
              <w:spacing w:line="276" w:lineRule="auto"/>
              <w:jc w:val="center"/>
              <w:rPr>
                <w:rFonts w:ascii="Adani Regular" w:eastAsia="Calibri" w:hAnsi="Adani Regular" w:cs="Arial"/>
                <w:sz w:val="22"/>
                <w:szCs w:val="22"/>
              </w:rPr>
            </w:pPr>
            <w:r w:rsidRPr="00CD752E">
              <w:rPr>
                <w:rFonts w:ascii="Adani Regular" w:eastAsia="Calibri" w:hAnsi="Adani Regular" w:cs="Arial"/>
                <w:sz w:val="22"/>
                <w:szCs w:val="22"/>
              </w:rPr>
              <w:t>4741.38</w:t>
            </w:r>
          </w:p>
        </w:tc>
      </w:tr>
      <w:tr w:rsidR="009E1C00" w:rsidRPr="00CD752E" w14:paraId="3B25418A"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tcPr>
          <w:p w14:paraId="4791CB39" w14:textId="77777777" w:rsidR="009E1C00" w:rsidRPr="00CD752E" w:rsidRDefault="009E1C00" w:rsidP="00CD752E">
            <w:pPr>
              <w:autoSpaceDE w:val="0"/>
              <w:autoSpaceDN w:val="0"/>
              <w:adjustRightInd w:val="0"/>
              <w:spacing w:line="276" w:lineRule="auto"/>
              <w:jc w:val="both"/>
              <w:rPr>
                <w:rFonts w:ascii="Adani Regular" w:eastAsia="Calibri" w:hAnsi="Adani Regular" w:cs="Arial"/>
                <w:sz w:val="22"/>
                <w:szCs w:val="22"/>
              </w:rPr>
            </w:pPr>
            <w:r w:rsidRPr="00CD752E">
              <w:rPr>
                <w:rFonts w:ascii="Adani Regular" w:eastAsia="Calibri" w:hAnsi="Adani Regular" w:cs="Arial"/>
                <w:sz w:val="22"/>
                <w:szCs w:val="22"/>
              </w:rPr>
              <w:t>Term Loan</w:t>
            </w:r>
          </w:p>
        </w:tc>
        <w:tc>
          <w:tcPr>
            <w:tcW w:w="1724" w:type="pct"/>
            <w:tcBorders>
              <w:top w:val="single" w:sz="4" w:space="0" w:color="auto"/>
              <w:left w:val="single" w:sz="4" w:space="0" w:color="auto"/>
              <w:bottom w:val="single" w:sz="4" w:space="0" w:color="auto"/>
              <w:right w:val="single" w:sz="4" w:space="0" w:color="auto"/>
            </w:tcBorders>
          </w:tcPr>
          <w:p w14:paraId="3F2E18C2" w14:textId="77777777" w:rsidR="009E1C00" w:rsidRPr="00CD752E" w:rsidRDefault="009E1C00" w:rsidP="00CD752E">
            <w:pPr>
              <w:autoSpaceDE w:val="0"/>
              <w:autoSpaceDN w:val="0"/>
              <w:adjustRightInd w:val="0"/>
              <w:spacing w:line="276" w:lineRule="auto"/>
              <w:jc w:val="center"/>
              <w:rPr>
                <w:rFonts w:ascii="Adani Regular" w:eastAsia="Calibri" w:hAnsi="Adani Regular" w:cs="Arial"/>
                <w:sz w:val="22"/>
                <w:szCs w:val="22"/>
              </w:rPr>
            </w:pPr>
            <w:r w:rsidRPr="00CD752E">
              <w:rPr>
                <w:rFonts w:ascii="Adani Regular" w:eastAsia="Calibri" w:hAnsi="Adani Regular" w:cs="Arial"/>
                <w:sz w:val="22"/>
                <w:szCs w:val="22"/>
              </w:rPr>
              <w:t>10075.42</w:t>
            </w:r>
          </w:p>
        </w:tc>
      </w:tr>
      <w:tr w:rsidR="009E1C00" w:rsidRPr="00CD752E" w14:paraId="20462AAE"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vAlign w:val="bottom"/>
          </w:tcPr>
          <w:p w14:paraId="1F503023" w14:textId="77777777" w:rsidR="009E1C00" w:rsidRPr="00CD752E" w:rsidRDefault="009E1C00" w:rsidP="00CD752E">
            <w:pPr>
              <w:spacing w:line="276" w:lineRule="auto"/>
              <w:rPr>
                <w:rFonts w:ascii="Adani Regular" w:hAnsi="Adani Regular" w:cs="Arial"/>
                <w:b/>
                <w:bCs/>
                <w:sz w:val="22"/>
                <w:szCs w:val="22"/>
              </w:rPr>
            </w:pPr>
            <w:r w:rsidRPr="00CD752E">
              <w:rPr>
                <w:rFonts w:ascii="Adani Regular" w:hAnsi="Adani Regular" w:cs="Arial"/>
                <w:b/>
                <w:bCs/>
                <w:sz w:val="22"/>
                <w:szCs w:val="22"/>
              </w:rPr>
              <w:t>Other Current Liabilities (net)</w:t>
            </w:r>
          </w:p>
        </w:tc>
        <w:tc>
          <w:tcPr>
            <w:tcW w:w="1724" w:type="pct"/>
            <w:tcBorders>
              <w:top w:val="single" w:sz="4" w:space="0" w:color="auto"/>
              <w:left w:val="single" w:sz="4" w:space="0" w:color="auto"/>
              <w:bottom w:val="single" w:sz="4" w:space="0" w:color="auto"/>
              <w:right w:val="single" w:sz="4" w:space="0" w:color="auto"/>
            </w:tcBorders>
            <w:vAlign w:val="center"/>
          </w:tcPr>
          <w:p w14:paraId="625382DC" w14:textId="77777777" w:rsidR="009E1C00" w:rsidRPr="00CD752E" w:rsidRDefault="009E1C00" w:rsidP="00CD752E">
            <w:pPr>
              <w:spacing w:line="276" w:lineRule="auto"/>
              <w:jc w:val="center"/>
              <w:rPr>
                <w:rFonts w:ascii="Adani Regular" w:hAnsi="Adani Regular" w:cs="Arial"/>
                <w:b/>
                <w:bCs/>
                <w:sz w:val="22"/>
                <w:szCs w:val="22"/>
              </w:rPr>
            </w:pPr>
            <w:r w:rsidRPr="00CD752E">
              <w:rPr>
                <w:rFonts w:ascii="Adani Regular" w:hAnsi="Adani Regular" w:cs="Arial"/>
                <w:b/>
                <w:bCs/>
                <w:sz w:val="22"/>
                <w:szCs w:val="22"/>
              </w:rPr>
              <w:t>-</w:t>
            </w:r>
          </w:p>
        </w:tc>
      </w:tr>
      <w:tr w:rsidR="009E1C00" w:rsidRPr="00CD752E" w14:paraId="348BB260" w14:textId="77777777" w:rsidTr="009E1C00">
        <w:trPr>
          <w:trHeight w:val="262"/>
          <w:jc w:val="center"/>
        </w:trPr>
        <w:tc>
          <w:tcPr>
            <w:tcW w:w="3276" w:type="pct"/>
            <w:tcBorders>
              <w:top w:val="single" w:sz="4" w:space="0" w:color="auto"/>
              <w:left w:val="single" w:sz="4" w:space="0" w:color="auto"/>
              <w:bottom w:val="single" w:sz="4" w:space="0" w:color="auto"/>
              <w:right w:val="single" w:sz="4" w:space="0" w:color="auto"/>
            </w:tcBorders>
          </w:tcPr>
          <w:p w14:paraId="3EE006F7" w14:textId="77777777" w:rsidR="009E1C00" w:rsidRPr="00CD752E" w:rsidRDefault="009E1C00" w:rsidP="00CD752E">
            <w:pPr>
              <w:autoSpaceDE w:val="0"/>
              <w:autoSpaceDN w:val="0"/>
              <w:adjustRightInd w:val="0"/>
              <w:spacing w:line="276" w:lineRule="auto"/>
              <w:jc w:val="both"/>
              <w:rPr>
                <w:rFonts w:ascii="Adani Regular" w:eastAsia="Calibri" w:hAnsi="Adani Regular" w:cs="Arial"/>
                <w:b/>
                <w:bCs/>
                <w:sz w:val="22"/>
                <w:szCs w:val="22"/>
              </w:rPr>
            </w:pPr>
            <w:r w:rsidRPr="00CD752E">
              <w:rPr>
                <w:rFonts w:ascii="Adani Regular" w:eastAsia="Calibri" w:hAnsi="Adani Regular" w:cs="Arial"/>
                <w:b/>
                <w:bCs/>
                <w:sz w:val="22"/>
                <w:szCs w:val="22"/>
              </w:rPr>
              <w:t>Total</w:t>
            </w:r>
          </w:p>
        </w:tc>
        <w:tc>
          <w:tcPr>
            <w:tcW w:w="1724" w:type="pct"/>
            <w:tcBorders>
              <w:top w:val="single" w:sz="4" w:space="0" w:color="auto"/>
              <w:left w:val="single" w:sz="4" w:space="0" w:color="auto"/>
              <w:bottom w:val="single" w:sz="4" w:space="0" w:color="auto"/>
              <w:right w:val="single" w:sz="4" w:space="0" w:color="auto"/>
            </w:tcBorders>
          </w:tcPr>
          <w:p w14:paraId="3377FC96" w14:textId="77777777" w:rsidR="009E1C00" w:rsidRPr="00CD752E" w:rsidRDefault="009E1C00" w:rsidP="00CD752E">
            <w:pPr>
              <w:autoSpaceDE w:val="0"/>
              <w:autoSpaceDN w:val="0"/>
              <w:adjustRightInd w:val="0"/>
              <w:spacing w:line="276" w:lineRule="auto"/>
              <w:jc w:val="center"/>
              <w:rPr>
                <w:rFonts w:ascii="Adani Regular" w:eastAsia="Calibri" w:hAnsi="Adani Regular" w:cs="Arial"/>
                <w:b/>
                <w:bCs/>
                <w:sz w:val="22"/>
                <w:szCs w:val="22"/>
              </w:rPr>
            </w:pPr>
            <w:r w:rsidRPr="00CD752E">
              <w:rPr>
                <w:rFonts w:ascii="Adani Regular" w:hAnsi="Adani Regular" w:cs="Arial"/>
                <w:b/>
                <w:bCs/>
                <w:sz w:val="22"/>
                <w:szCs w:val="22"/>
              </w:rPr>
              <w:t>14,816.80</w:t>
            </w:r>
          </w:p>
        </w:tc>
      </w:tr>
    </w:tbl>
    <w:p w14:paraId="6E46DCE5" w14:textId="4DAA5F9E" w:rsidR="003D79FA" w:rsidRPr="00CD752E" w:rsidRDefault="003D79FA" w:rsidP="00CD752E">
      <w:pPr>
        <w:autoSpaceDE w:val="0"/>
        <w:autoSpaceDN w:val="0"/>
        <w:adjustRightInd w:val="0"/>
        <w:spacing w:line="276" w:lineRule="auto"/>
        <w:ind w:right="-97"/>
        <w:jc w:val="both"/>
        <w:rPr>
          <w:rFonts w:ascii="Adani Regular" w:eastAsia="Calibri" w:hAnsi="Adani Regular" w:cs="Arial"/>
          <w:sz w:val="22"/>
          <w:szCs w:val="22"/>
        </w:rPr>
      </w:pPr>
    </w:p>
    <w:p w14:paraId="07C8F5EC" w14:textId="1667CEBD" w:rsidR="00990FF6" w:rsidRPr="00CD752E" w:rsidRDefault="00990FF6" w:rsidP="00CD752E">
      <w:pPr>
        <w:spacing w:after="160" w:line="276" w:lineRule="auto"/>
        <w:rPr>
          <w:rFonts w:ascii="Adani Regular" w:eastAsia="Calibri" w:hAnsi="Adani Regular" w:cs="Arial"/>
          <w:b/>
          <w:bCs/>
          <w:sz w:val="22"/>
          <w:szCs w:val="22"/>
        </w:rPr>
      </w:pPr>
      <w:r w:rsidRPr="00CD752E">
        <w:rPr>
          <w:rFonts w:ascii="Adani Regular" w:eastAsia="Calibri" w:hAnsi="Adani Regular" w:cs="Arial"/>
          <w:b/>
          <w:bCs/>
          <w:sz w:val="22"/>
          <w:szCs w:val="22"/>
        </w:rPr>
        <w:t>EPC Contractor</w:t>
      </w:r>
    </w:p>
    <w:p w14:paraId="7E36F7BF" w14:textId="2772E2F5" w:rsidR="00017499" w:rsidRPr="00CD752E" w:rsidRDefault="00017499" w:rsidP="00CD752E">
      <w:pPr>
        <w:tabs>
          <w:tab w:val="left" w:pos="90"/>
        </w:tabs>
        <w:spacing w:line="276" w:lineRule="auto"/>
        <w:jc w:val="both"/>
        <w:rPr>
          <w:rFonts w:ascii="Adani Regular" w:hAnsi="Adani Regular" w:cs="Arial"/>
          <w:sz w:val="22"/>
          <w:szCs w:val="22"/>
          <w:lang w:val="en-IN"/>
        </w:rPr>
      </w:pPr>
      <w:r w:rsidRPr="00CD752E">
        <w:rPr>
          <w:rFonts w:ascii="Adani Regular" w:hAnsi="Adani Regular" w:cs="Arial"/>
          <w:sz w:val="22"/>
          <w:szCs w:val="22"/>
          <w:lang w:val="en-IN"/>
        </w:rPr>
        <w:t xml:space="preserve">SEPCO-III had participated in the international Competitive Bidding (ICB) tender for 2x800 MW Godda Project as a lead bidder through a consortium comprising of “(1) SEPCO-III Electric Power Construction Co., Ltd., China, (2) TIEJUN International (HK) Ltd., Hong Kong and (3) HTG Engineering Pvt. Ltd., India. Further, TIL &amp; HTG are subsidiary companies of SEPCOIII only. </w:t>
      </w:r>
    </w:p>
    <w:p w14:paraId="7D79909D" w14:textId="77777777" w:rsidR="00017499" w:rsidRPr="00CD752E" w:rsidRDefault="00017499" w:rsidP="00CD752E">
      <w:pPr>
        <w:tabs>
          <w:tab w:val="left" w:pos="90"/>
        </w:tabs>
        <w:spacing w:line="276" w:lineRule="auto"/>
        <w:jc w:val="both"/>
        <w:rPr>
          <w:rFonts w:ascii="Adani Regular" w:hAnsi="Adani Regular" w:cs="Arial"/>
          <w:sz w:val="22"/>
          <w:szCs w:val="22"/>
          <w:lang w:val="en-IN"/>
        </w:rPr>
      </w:pPr>
    </w:p>
    <w:p w14:paraId="1DCB60BC" w14:textId="721DF51C" w:rsidR="00017499" w:rsidRPr="00CD752E" w:rsidRDefault="00017499" w:rsidP="00CD752E">
      <w:pPr>
        <w:tabs>
          <w:tab w:val="left" w:pos="90"/>
        </w:tabs>
        <w:spacing w:line="276" w:lineRule="auto"/>
        <w:jc w:val="both"/>
        <w:rPr>
          <w:rFonts w:ascii="Adani Regular" w:hAnsi="Adani Regular" w:cs="Arial"/>
          <w:sz w:val="22"/>
          <w:szCs w:val="22"/>
        </w:rPr>
      </w:pPr>
      <w:r w:rsidRPr="00CD752E">
        <w:rPr>
          <w:rFonts w:ascii="Adani Regular" w:hAnsi="Adani Regular" w:cs="Arial"/>
          <w:sz w:val="22"/>
          <w:szCs w:val="22"/>
          <w:lang w:val="en-IN"/>
        </w:rPr>
        <w:t>The said consortium was successful in the ICB tender and Engineering, Procurement and Construction (EPC) Contracts were signed with them for the respective scope as proposed by the consortium on 08-March-2018 with SEPCOIII as the lead partner. </w:t>
      </w:r>
      <w:r w:rsidRPr="00CD752E">
        <w:rPr>
          <w:rFonts w:ascii="Adani Regular" w:hAnsi="Adani Regular" w:cs="Arial"/>
          <w:sz w:val="22"/>
          <w:szCs w:val="22"/>
        </w:rPr>
        <w:t> </w:t>
      </w:r>
    </w:p>
    <w:p w14:paraId="02512165" w14:textId="77777777" w:rsidR="00267DA5" w:rsidRPr="00CD752E" w:rsidRDefault="00267DA5" w:rsidP="00CD752E">
      <w:pPr>
        <w:tabs>
          <w:tab w:val="left" w:pos="90"/>
        </w:tabs>
        <w:spacing w:line="276" w:lineRule="auto"/>
        <w:jc w:val="both"/>
        <w:rPr>
          <w:rFonts w:ascii="Adani Regular" w:hAnsi="Adani Regular" w:cs="Arial"/>
          <w:sz w:val="22"/>
          <w:szCs w:val="22"/>
          <w:lang w:val="en-IN"/>
        </w:rPr>
      </w:pPr>
    </w:p>
    <w:p w14:paraId="1E4ADA00" w14:textId="77777777" w:rsidR="00017499" w:rsidRPr="00CD752E" w:rsidRDefault="00017499" w:rsidP="00CD752E">
      <w:pPr>
        <w:tabs>
          <w:tab w:val="left" w:pos="90"/>
        </w:tabs>
        <w:spacing w:line="276" w:lineRule="auto"/>
        <w:jc w:val="both"/>
        <w:rPr>
          <w:rFonts w:ascii="Adani Regular" w:hAnsi="Adani Regular" w:cs="Arial"/>
          <w:sz w:val="22"/>
          <w:szCs w:val="22"/>
          <w:lang w:val="en-IN"/>
        </w:rPr>
      </w:pPr>
      <w:r w:rsidRPr="00CD752E">
        <w:rPr>
          <w:rFonts w:ascii="Adani Regular" w:hAnsi="Adani Regular" w:cs="Arial"/>
          <w:sz w:val="22"/>
          <w:szCs w:val="22"/>
          <w:lang w:val="en-IN"/>
        </w:rPr>
        <w:t>The E</w:t>
      </w:r>
      <w:r w:rsidRPr="00CD752E">
        <w:rPr>
          <w:rFonts w:ascii="Adani Regular" w:hAnsi="Adani Regular" w:cs="Arial"/>
          <w:sz w:val="22"/>
          <w:szCs w:val="22"/>
        </w:rPr>
        <w:t>PC contract was awarded to Tie Jun International (HK) Limited (TIEJUN), SEPCOIII Electric Power Construction Company Limited – China (SEPCOIII) for offshore supply and to HTG Engineering Private Limited (HTG) for onshore supply &amp; services. </w:t>
      </w:r>
    </w:p>
    <w:p w14:paraId="5A725821" w14:textId="757B5B8A" w:rsidR="00225334" w:rsidRDefault="00017499" w:rsidP="00CD752E">
      <w:pPr>
        <w:tabs>
          <w:tab w:val="num" w:pos="-90"/>
          <w:tab w:val="left" w:pos="90"/>
        </w:tabs>
        <w:spacing w:line="276" w:lineRule="auto"/>
        <w:textAlignment w:val="baseline"/>
        <w:rPr>
          <w:rFonts w:ascii="Adani Regular" w:hAnsi="Adani Regular" w:cs="Arial"/>
          <w:sz w:val="22"/>
          <w:szCs w:val="22"/>
        </w:rPr>
      </w:pPr>
      <w:r w:rsidRPr="00CD752E">
        <w:rPr>
          <w:rFonts w:ascii="Adani Regular" w:hAnsi="Adani Regular" w:cs="Arial"/>
          <w:sz w:val="22"/>
          <w:szCs w:val="22"/>
        </w:rPr>
        <w:t> </w:t>
      </w:r>
    </w:p>
    <w:p w14:paraId="2E530D5B" w14:textId="77777777" w:rsidR="00225334" w:rsidRPr="00CD752E" w:rsidRDefault="00225334" w:rsidP="00CD752E">
      <w:pPr>
        <w:tabs>
          <w:tab w:val="num" w:pos="-90"/>
          <w:tab w:val="left" w:pos="90"/>
        </w:tabs>
        <w:spacing w:line="276" w:lineRule="auto"/>
        <w:textAlignment w:val="baseline"/>
        <w:rPr>
          <w:rFonts w:ascii="Adani Regular" w:hAnsi="Adani Regular" w:cs="Segoe UI"/>
          <w:sz w:val="22"/>
          <w:szCs w:val="22"/>
        </w:rPr>
      </w:pPr>
    </w:p>
    <w:p w14:paraId="05191312" w14:textId="77777777" w:rsidR="00017499" w:rsidRPr="00CD752E" w:rsidRDefault="00017499" w:rsidP="00CD752E">
      <w:pPr>
        <w:tabs>
          <w:tab w:val="left" w:pos="90"/>
        </w:tabs>
        <w:spacing w:line="276" w:lineRule="auto"/>
        <w:jc w:val="both"/>
        <w:textAlignment w:val="baseline"/>
        <w:rPr>
          <w:rFonts w:ascii="Adani Regular" w:hAnsi="Adani Regular" w:cs="Arial"/>
          <w:sz w:val="22"/>
          <w:szCs w:val="22"/>
        </w:rPr>
      </w:pPr>
      <w:r w:rsidRPr="00CD752E">
        <w:rPr>
          <w:rFonts w:ascii="Adani Regular" w:hAnsi="Adani Regular" w:cs="Arial"/>
          <w:sz w:val="22"/>
          <w:szCs w:val="22"/>
        </w:rPr>
        <w:t>Value of EPC Contracts as on date is as under: </w:t>
      </w:r>
    </w:p>
    <w:tbl>
      <w:tblPr>
        <w:tblW w:w="928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96"/>
        <w:gridCol w:w="2499"/>
        <w:gridCol w:w="2288"/>
      </w:tblGrid>
      <w:tr w:rsidR="00017499" w:rsidRPr="00CD752E" w14:paraId="0D2D58A5" w14:textId="77777777" w:rsidTr="00FF3F0F">
        <w:trPr>
          <w:trHeight w:val="170"/>
        </w:trPr>
        <w:tc>
          <w:tcPr>
            <w:tcW w:w="4496" w:type="dxa"/>
            <w:tcBorders>
              <w:top w:val="single" w:sz="6" w:space="0" w:color="auto"/>
              <w:left w:val="single" w:sz="6" w:space="0" w:color="auto"/>
              <w:bottom w:val="single" w:sz="6" w:space="0" w:color="auto"/>
              <w:right w:val="single" w:sz="6" w:space="0" w:color="auto"/>
            </w:tcBorders>
            <w:shd w:val="clear" w:color="auto" w:fill="auto"/>
            <w:hideMark/>
          </w:tcPr>
          <w:p w14:paraId="2DFD5170"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rPr>
              <w:t> </w:t>
            </w:r>
            <w:r w:rsidRPr="00CD752E">
              <w:rPr>
                <w:rFonts w:ascii="Adani Regular" w:hAnsi="Adani Regular" w:cs="Arial"/>
                <w:b/>
                <w:bCs/>
                <w:sz w:val="22"/>
                <w:szCs w:val="22"/>
                <w:lang w:val="en-IN"/>
              </w:rPr>
              <w:t>Contracts</w:t>
            </w:r>
            <w:r w:rsidRPr="00CD752E">
              <w:rPr>
                <w:rFonts w:ascii="Adani Regular" w:hAnsi="Adani Regular" w:cs="Arial"/>
                <w:sz w:val="22"/>
                <w:szCs w:val="22"/>
              </w:rPr>
              <w:t> </w:t>
            </w:r>
          </w:p>
        </w:tc>
        <w:tc>
          <w:tcPr>
            <w:tcW w:w="2499" w:type="dxa"/>
            <w:tcBorders>
              <w:top w:val="single" w:sz="6" w:space="0" w:color="auto"/>
              <w:left w:val="single" w:sz="6" w:space="0" w:color="auto"/>
              <w:bottom w:val="single" w:sz="6" w:space="0" w:color="auto"/>
              <w:right w:val="single" w:sz="6" w:space="0" w:color="auto"/>
            </w:tcBorders>
            <w:shd w:val="clear" w:color="auto" w:fill="auto"/>
            <w:hideMark/>
          </w:tcPr>
          <w:p w14:paraId="6A29FC7E"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b/>
                <w:bCs/>
                <w:sz w:val="22"/>
                <w:szCs w:val="22"/>
                <w:lang w:val="en-IN"/>
              </w:rPr>
              <w:t>Agency</w:t>
            </w:r>
            <w:r w:rsidRPr="00CD752E">
              <w:rPr>
                <w:rFonts w:ascii="Adani Regular" w:hAnsi="Adani Regular" w:cs="Arial"/>
                <w:sz w:val="22"/>
                <w:szCs w:val="22"/>
              </w:rPr>
              <w:t> </w:t>
            </w:r>
          </w:p>
        </w:tc>
        <w:tc>
          <w:tcPr>
            <w:tcW w:w="2288" w:type="dxa"/>
            <w:tcBorders>
              <w:top w:val="single" w:sz="6" w:space="0" w:color="auto"/>
              <w:left w:val="single" w:sz="6" w:space="0" w:color="auto"/>
              <w:bottom w:val="single" w:sz="6" w:space="0" w:color="auto"/>
              <w:right w:val="single" w:sz="6" w:space="0" w:color="auto"/>
            </w:tcBorders>
            <w:shd w:val="clear" w:color="auto" w:fill="auto"/>
            <w:hideMark/>
          </w:tcPr>
          <w:p w14:paraId="67C86090"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b/>
                <w:bCs/>
                <w:sz w:val="22"/>
                <w:szCs w:val="22"/>
                <w:lang w:val="en-IN"/>
              </w:rPr>
              <w:t>Amount</w:t>
            </w:r>
            <w:r w:rsidRPr="00CD752E">
              <w:rPr>
                <w:rFonts w:ascii="Adani Regular" w:hAnsi="Adani Regular" w:cs="Arial"/>
                <w:sz w:val="22"/>
                <w:szCs w:val="22"/>
              </w:rPr>
              <w:t> </w:t>
            </w:r>
          </w:p>
        </w:tc>
      </w:tr>
      <w:tr w:rsidR="00017499" w:rsidRPr="00CD752E" w14:paraId="3D189533" w14:textId="77777777" w:rsidTr="00FF3F0F">
        <w:trPr>
          <w:trHeight w:val="154"/>
        </w:trPr>
        <w:tc>
          <w:tcPr>
            <w:tcW w:w="4496" w:type="dxa"/>
            <w:tcBorders>
              <w:top w:val="single" w:sz="6" w:space="0" w:color="auto"/>
              <w:left w:val="single" w:sz="6" w:space="0" w:color="auto"/>
              <w:bottom w:val="single" w:sz="6" w:space="0" w:color="auto"/>
              <w:right w:val="single" w:sz="6" w:space="0" w:color="auto"/>
            </w:tcBorders>
            <w:shd w:val="clear" w:color="auto" w:fill="auto"/>
            <w:hideMark/>
          </w:tcPr>
          <w:p w14:paraId="1FAE6DBD"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Offshore Supply Contract 1</w:t>
            </w:r>
          </w:p>
        </w:tc>
        <w:tc>
          <w:tcPr>
            <w:tcW w:w="2499" w:type="dxa"/>
            <w:tcBorders>
              <w:top w:val="single" w:sz="6" w:space="0" w:color="auto"/>
              <w:left w:val="single" w:sz="6" w:space="0" w:color="auto"/>
              <w:bottom w:val="single" w:sz="6" w:space="0" w:color="auto"/>
              <w:right w:val="single" w:sz="6" w:space="0" w:color="auto"/>
            </w:tcBorders>
            <w:shd w:val="clear" w:color="auto" w:fill="auto"/>
            <w:hideMark/>
          </w:tcPr>
          <w:p w14:paraId="01B49D31"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SEPCOIII</w:t>
            </w:r>
          </w:p>
        </w:tc>
        <w:tc>
          <w:tcPr>
            <w:tcW w:w="2288" w:type="dxa"/>
            <w:tcBorders>
              <w:top w:val="single" w:sz="6" w:space="0" w:color="auto"/>
              <w:left w:val="single" w:sz="6" w:space="0" w:color="auto"/>
              <w:bottom w:val="single" w:sz="6" w:space="0" w:color="auto"/>
              <w:right w:val="single" w:sz="6" w:space="0" w:color="auto"/>
            </w:tcBorders>
            <w:shd w:val="clear" w:color="auto" w:fill="auto"/>
            <w:hideMark/>
          </w:tcPr>
          <w:p w14:paraId="08FF16C1"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USD 200 Mio</w:t>
            </w:r>
          </w:p>
        </w:tc>
      </w:tr>
      <w:tr w:rsidR="00017499" w:rsidRPr="00CD752E" w14:paraId="2396BB2A" w14:textId="77777777" w:rsidTr="00FF3F0F">
        <w:trPr>
          <w:trHeight w:val="154"/>
        </w:trPr>
        <w:tc>
          <w:tcPr>
            <w:tcW w:w="4496" w:type="dxa"/>
            <w:tcBorders>
              <w:top w:val="single" w:sz="6" w:space="0" w:color="auto"/>
              <w:left w:val="single" w:sz="6" w:space="0" w:color="auto"/>
              <w:bottom w:val="single" w:sz="6" w:space="0" w:color="auto"/>
              <w:right w:val="single" w:sz="6" w:space="0" w:color="auto"/>
            </w:tcBorders>
            <w:shd w:val="clear" w:color="auto" w:fill="auto"/>
            <w:hideMark/>
          </w:tcPr>
          <w:p w14:paraId="7320A101"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Offshore Supply Contract 2</w:t>
            </w:r>
          </w:p>
        </w:tc>
        <w:tc>
          <w:tcPr>
            <w:tcW w:w="2499" w:type="dxa"/>
            <w:tcBorders>
              <w:top w:val="single" w:sz="6" w:space="0" w:color="auto"/>
              <w:left w:val="single" w:sz="6" w:space="0" w:color="auto"/>
              <w:bottom w:val="single" w:sz="6" w:space="0" w:color="auto"/>
              <w:right w:val="single" w:sz="6" w:space="0" w:color="auto"/>
            </w:tcBorders>
            <w:shd w:val="clear" w:color="auto" w:fill="auto"/>
            <w:hideMark/>
          </w:tcPr>
          <w:p w14:paraId="45CD8BF7"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TIEJUN</w:t>
            </w:r>
          </w:p>
        </w:tc>
        <w:tc>
          <w:tcPr>
            <w:tcW w:w="2288" w:type="dxa"/>
            <w:tcBorders>
              <w:top w:val="single" w:sz="6" w:space="0" w:color="auto"/>
              <w:left w:val="single" w:sz="6" w:space="0" w:color="auto"/>
              <w:bottom w:val="single" w:sz="6" w:space="0" w:color="auto"/>
              <w:right w:val="single" w:sz="6" w:space="0" w:color="auto"/>
            </w:tcBorders>
            <w:shd w:val="clear" w:color="auto" w:fill="auto"/>
            <w:hideMark/>
          </w:tcPr>
          <w:p w14:paraId="797F4C15"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USD 680 Mio</w:t>
            </w:r>
          </w:p>
        </w:tc>
      </w:tr>
      <w:tr w:rsidR="00017499" w:rsidRPr="00CD752E" w14:paraId="2C330129" w14:textId="77777777" w:rsidTr="00FF3F0F">
        <w:trPr>
          <w:trHeight w:val="139"/>
        </w:trPr>
        <w:tc>
          <w:tcPr>
            <w:tcW w:w="4496" w:type="dxa"/>
            <w:tcBorders>
              <w:top w:val="single" w:sz="6" w:space="0" w:color="auto"/>
              <w:left w:val="single" w:sz="6" w:space="0" w:color="auto"/>
              <w:bottom w:val="single" w:sz="6" w:space="0" w:color="auto"/>
              <w:right w:val="single" w:sz="6" w:space="0" w:color="auto"/>
            </w:tcBorders>
            <w:shd w:val="clear" w:color="auto" w:fill="auto"/>
            <w:hideMark/>
          </w:tcPr>
          <w:p w14:paraId="689705B5"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Onshore Supply Contract</w:t>
            </w:r>
          </w:p>
        </w:tc>
        <w:tc>
          <w:tcPr>
            <w:tcW w:w="2499" w:type="dxa"/>
            <w:tcBorders>
              <w:top w:val="single" w:sz="6" w:space="0" w:color="auto"/>
              <w:left w:val="single" w:sz="6" w:space="0" w:color="auto"/>
              <w:bottom w:val="single" w:sz="6" w:space="0" w:color="auto"/>
              <w:right w:val="single" w:sz="6" w:space="0" w:color="auto"/>
            </w:tcBorders>
            <w:shd w:val="clear" w:color="auto" w:fill="auto"/>
            <w:hideMark/>
          </w:tcPr>
          <w:p w14:paraId="04C2ED97"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HTG</w:t>
            </w:r>
          </w:p>
        </w:tc>
        <w:tc>
          <w:tcPr>
            <w:tcW w:w="2288" w:type="dxa"/>
            <w:tcBorders>
              <w:top w:val="single" w:sz="6" w:space="0" w:color="auto"/>
              <w:left w:val="single" w:sz="6" w:space="0" w:color="auto"/>
              <w:bottom w:val="single" w:sz="6" w:space="0" w:color="auto"/>
              <w:right w:val="single" w:sz="6" w:space="0" w:color="auto"/>
            </w:tcBorders>
            <w:shd w:val="clear" w:color="auto" w:fill="auto"/>
            <w:hideMark/>
          </w:tcPr>
          <w:p w14:paraId="45215E7F"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Rs.322.50 Crore</w:t>
            </w:r>
          </w:p>
        </w:tc>
      </w:tr>
      <w:tr w:rsidR="00017499" w:rsidRPr="00CD752E" w14:paraId="4F46D938" w14:textId="77777777" w:rsidTr="00FF3F0F">
        <w:trPr>
          <w:trHeight w:val="247"/>
        </w:trPr>
        <w:tc>
          <w:tcPr>
            <w:tcW w:w="4496" w:type="dxa"/>
            <w:tcBorders>
              <w:top w:val="single" w:sz="6" w:space="0" w:color="auto"/>
              <w:left w:val="single" w:sz="6" w:space="0" w:color="auto"/>
              <w:bottom w:val="single" w:sz="6" w:space="0" w:color="auto"/>
              <w:right w:val="single" w:sz="6" w:space="0" w:color="auto"/>
            </w:tcBorders>
            <w:shd w:val="clear" w:color="auto" w:fill="auto"/>
            <w:hideMark/>
          </w:tcPr>
          <w:p w14:paraId="3BC03F43"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Onshore Services Contract</w:t>
            </w:r>
          </w:p>
        </w:tc>
        <w:tc>
          <w:tcPr>
            <w:tcW w:w="2499" w:type="dxa"/>
            <w:tcBorders>
              <w:top w:val="single" w:sz="6" w:space="0" w:color="auto"/>
              <w:left w:val="single" w:sz="6" w:space="0" w:color="auto"/>
              <w:bottom w:val="single" w:sz="6" w:space="0" w:color="auto"/>
              <w:right w:val="single" w:sz="6" w:space="0" w:color="auto"/>
            </w:tcBorders>
            <w:shd w:val="clear" w:color="auto" w:fill="auto"/>
            <w:hideMark/>
          </w:tcPr>
          <w:p w14:paraId="5947BE1C"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HTG</w:t>
            </w:r>
          </w:p>
        </w:tc>
        <w:tc>
          <w:tcPr>
            <w:tcW w:w="2288" w:type="dxa"/>
            <w:tcBorders>
              <w:top w:val="single" w:sz="6" w:space="0" w:color="auto"/>
              <w:left w:val="single" w:sz="6" w:space="0" w:color="auto"/>
              <w:bottom w:val="single" w:sz="6" w:space="0" w:color="auto"/>
              <w:right w:val="single" w:sz="6" w:space="0" w:color="auto"/>
            </w:tcBorders>
            <w:shd w:val="clear" w:color="auto" w:fill="auto"/>
            <w:hideMark/>
          </w:tcPr>
          <w:p w14:paraId="30553108"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Rs.3214 Crore</w:t>
            </w:r>
          </w:p>
        </w:tc>
      </w:tr>
    </w:tbl>
    <w:p w14:paraId="6C0826F6" w14:textId="77777777" w:rsidR="00017499" w:rsidRPr="00CD752E" w:rsidRDefault="00017499" w:rsidP="00CD752E">
      <w:pPr>
        <w:tabs>
          <w:tab w:val="left" w:pos="90"/>
        </w:tabs>
        <w:spacing w:line="276" w:lineRule="auto"/>
        <w:textAlignment w:val="baseline"/>
        <w:rPr>
          <w:rFonts w:ascii="Adani Regular" w:hAnsi="Adani Regular" w:cs="Segoe UI"/>
          <w:sz w:val="22"/>
          <w:szCs w:val="22"/>
        </w:rPr>
      </w:pPr>
      <w:r w:rsidRPr="00CD752E">
        <w:rPr>
          <w:rFonts w:ascii="Adani Regular" w:hAnsi="Adani Regular" w:cs="Arial"/>
          <w:sz w:val="22"/>
          <w:szCs w:val="22"/>
        </w:rPr>
        <w:t>  </w:t>
      </w:r>
    </w:p>
    <w:p w14:paraId="0FCBA19B" w14:textId="77777777" w:rsidR="00017499" w:rsidRPr="00CD752E" w:rsidRDefault="00017499" w:rsidP="00CD752E">
      <w:pPr>
        <w:tabs>
          <w:tab w:val="left" w:pos="90"/>
        </w:tabs>
        <w:spacing w:line="276" w:lineRule="auto"/>
        <w:jc w:val="both"/>
        <w:textAlignment w:val="baseline"/>
        <w:rPr>
          <w:rFonts w:ascii="Adani Regular" w:hAnsi="Adani Regular" w:cs="Arial"/>
          <w:sz w:val="22"/>
          <w:szCs w:val="22"/>
        </w:rPr>
      </w:pPr>
      <w:r w:rsidRPr="00CD752E">
        <w:rPr>
          <w:rFonts w:ascii="Adani Regular" w:hAnsi="Adani Regular" w:cs="Arial"/>
          <w:sz w:val="22"/>
          <w:szCs w:val="22"/>
        </w:rPr>
        <w:t>Scope of Supply Contracts is as under: </w:t>
      </w:r>
    </w:p>
    <w:tbl>
      <w:tblPr>
        <w:tblW w:w="92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32"/>
        <w:gridCol w:w="1620"/>
        <w:gridCol w:w="4403"/>
      </w:tblGrid>
      <w:tr w:rsidR="00017499" w:rsidRPr="00CD752E" w14:paraId="77EBDB38" w14:textId="77777777" w:rsidTr="00FF3F0F">
        <w:trPr>
          <w:trHeight w:val="150"/>
        </w:trPr>
        <w:tc>
          <w:tcPr>
            <w:tcW w:w="3232" w:type="dxa"/>
            <w:tcBorders>
              <w:top w:val="single" w:sz="6" w:space="0" w:color="auto"/>
              <w:left w:val="single" w:sz="6" w:space="0" w:color="auto"/>
              <w:bottom w:val="single" w:sz="6" w:space="0" w:color="auto"/>
              <w:right w:val="single" w:sz="6" w:space="0" w:color="auto"/>
            </w:tcBorders>
            <w:shd w:val="clear" w:color="auto" w:fill="auto"/>
            <w:hideMark/>
          </w:tcPr>
          <w:p w14:paraId="12038310"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b/>
                <w:bCs/>
                <w:sz w:val="22"/>
                <w:szCs w:val="22"/>
                <w:lang w:val="en-IN"/>
              </w:rPr>
              <w:t>Contracts</w:t>
            </w:r>
            <w:r w:rsidRPr="00CD752E">
              <w:rPr>
                <w:rFonts w:ascii="Adani Regular" w:hAnsi="Adani Regular" w:cs="Arial"/>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2BC7C8CB"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b/>
                <w:bCs/>
                <w:sz w:val="22"/>
                <w:szCs w:val="22"/>
                <w:lang w:val="en-IN"/>
              </w:rPr>
              <w:t>Agency</w:t>
            </w:r>
            <w:r w:rsidRPr="00CD752E">
              <w:rPr>
                <w:rFonts w:ascii="Adani Regular" w:hAnsi="Adani Regular" w:cs="Arial"/>
                <w:sz w:val="22"/>
                <w:szCs w:val="22"/>
              </w:rPr>
              <w:t> </w:t>
            </w:r>
          </w:p>
        </w:tc>
        <w:tc>
          <w:tcPr>
            <w:tcW w:w="4403" w:type="dxa"/>
            <w:tcBorders>
              <w:top w:val="single" w:sz="6" w:space="0" w:color="auto"/>
              <w:left w:val="single" w:sz="6" w:space="0" w:color="auto"/>
              <w:bottom w:val="single" w:sz="6" w:space="0" w:color="auto"/>
              <w:right w:val="single" w:sz="6" w:space="0" w:color="auto"/>
            </w:tcBorders>
            <w:shd w:val="clear" w:color="auto" w:fill="auto"/>
            <w:hideMark/>
          </w:tcPr>
          <w:p w14:paraId="2A6ECE44"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b/>
                <w:bCs/>
                <w:sz w:val="22"/>
                <w:szCs w:val="22"/>
                <w:lang w:val="en-IN"/>
              </w:rPr>
              <w:t>Particulars</w:t>
            </w:r>
            <w:r w:rsidRPr="00CD752E">
              <w:rPr>
                <w:rFonts w:ascii="Adani Regular" w:hAnsi="Adani Regular" w:cs="Arial"/>
                <w:sz w:val="22"/>
                <w:szCs w:val="22"/>
              </w:rPr>
              <w:t> </w:t>
            </w:r>
          </w:p>
        </w:tc>
      </w:tr>
      <w:tr w:rsidR="00017499" w:rsidRPr="00CD752E" w14:paraId="65C93BDE" w14:textId="77777777" w:rsidTr="00FF3F0F">
        <w:trPr>
          <w:trHeight w:val="210"/>
        </w:trPr>
        <w:tc>
          <w:tcPr>
            <w:tcW w:w="3232" w:type="dxa"/>
            <w:tcBorders>
              <w:top w:val="single" w:sz="6" w:space="0" w:color="auto"/>
              <w:left w:val="single" w:sz="6" w:space="0" w:color="auto"/>
              <w:bottom w:val="single" w:sz="6" w:space="0" w:color="auto"/>
              <w:right w:val="single" w:sz="6" w:space="0" w:color="auto"/>
            </w:tcBorders>
            <w:shd w:val="clear" w:color="auto" w:fill="auto"/>
            <w:hideMark/>
          </w:tcPr>
          <w:p w14:paraId="2E45EF5A" w14:textId="77777777" w:rsidR="00017499" w:rsidRPr="00CD752E" w:rsidRDefault="00017499" w:rsidP="00CD752E">
            <w:pPr>
              <w:tabs>
                <w:tab w:val="left" w:pos="90"/>
              </w:tabs>
              <w:spacing w:line="276" w:lineRule="auto"/>
              <w:textAlignment w:val="baseline"/>
              <w:rPr>
                <w:rFonts w:ascii="Adani Regular" w:hAnsi="Adani Regular"/>
                <w:sz w:val="22"/>
                <w:szCs w:val="22"/>
              </w:rPr>
            </w:pPr>
            <w:r w:rsidRPr="00CD752E">
              <w:rPr>
                <w:rFonts w:ascii="Adani Regular" w:hAnsi="Adani Regular" w:cs="Arial"/>
                <w:sz w:val="22"/>
                <w:szCs w:val="22"/>
                <w:lang w:val="en-IN"/>
              </w:rPr>
              <w:t>Offshore Supply Contract 1</w:t>
            </w:r>
            <w:r w:rsidRPr="00CD752E">
              <w:rPr>
                <w:rFonts w:ascii="Adani Regular" w:hAnsi="Adani Regular" w:cs="Arial"/>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4BFC1AD9"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SEPCOIII</w:t>
            </w:r>
          </w:p>
        </w:tc>
        <w:tc>
          <w:tcPr>
            <w:tcW w:w="4403" w:type="dxa"/>
            <w:tcBorders>
              <w:top w:val="single" w:sz="6" w:space="0" w:color="auto"/>
              <w:left w:val="single" w:sz="6" w:space="0" w:color="auto"/>
              <w:bottom w:val="single" w:sz="6" w:space="0" w:color="auto"/>
              <w:right w:val="single" w:sz="6" w:space="0" w:color="auto"/>
            </w:tcBorders>
            <w:shd w:val="clear" w:color="auto" w:fill="auto"/>
            <w:hideMark/>
          </w:tcPr>
          <w:p w14:paraId="219ED7CB" w14:textId="77777777" w:rsidR="00017499" w:rsidRPr="00CD752E" w:rsidRDefault="00017499" w:rsidP="00CD752E">
            <w:pPr>
              <w:tabs>
                <w:tab w:val="left" w:pos="90"/>
              </w:tabs>
              <w:spacing w:line="276" w:lineRule="auto"/>
              <w:jc w:val="both"/>
              <w:textAlignment w:val="baseline"/>
              <w:rPr>
                <w:rFonts w:ascii="Adani Regular" w:hAnsi="Adani Regular"/>
                <w:sz w:val="22"/>
                <w:szCs w:val="22"/>
              </w:rPr>
            </w:pPr>
            <w:r w:rsidRPr="00CD752E">
              <w:rPr>
                <w:rFonts w:ascii="Adani Regular" w:hAnsi="Adani Regular" w:cs="Arial"/>
                <w:sz w:val="22"/>
                <w:szCs w:val="22"/>
                <w:lang w:val="en-IN"/>
              </w:rPr>
              <w:t>Boiler and ESP</w:t>
            </w:r>
            <w:r w:rsidRPr="00CD752E">
              <w:rPr>
                <w:rFonts w:ascii="Adani Regular" w:hAnsi="Adani Regular" w:cs="Arial"/>
                <w:sz w:val="22"/>
                <w:szCs w:val="22"/>
              </w:rPr>
              <w:t> </w:t>
            </w:r>
          </w:p>
        </w:tc>
      </w:tr>
      <w:tr w:rsidR="00017499" w:rsidRPr="00CD752E" w14:paraId="7D7F2838" w14:textId="77777777" w:rsidTr="00FF3F0F">
        <w:trPr>
          <w:trHeight w:val="1005"/>
        </w:trPr>
        <w:tc>
          <w:tcPr>
            <w:tcW w:w="3232" w:type="dxa"/>
            <w:tcBorders>
              <w:top w:val="single" w:sz="6" w:space="0" w:color="auto"/>
              <w:left w:val="single" w:sz="6" w:space="0" w:color="auto"/>
              <w:bottom w:val="single" w:sz="6" w:space="0" w:color="auto"/>
              <w:right w:val="single" w:sz="6" w:space="0" w:color="auto"/>
            </w:tcBorders>
            <w:shd w:val="clear" w:color="auto" w:fill="auto"/>
            <w:hideMark/>
          </w:tcPr>
          <w:p w14:paraId="740AAB88" w14:textId="77777777" w:rsidR="00017499" w:rsidRPr="00CD752E" w:rsidRDefault="00017499" w:rsidP="00CD752E">
            <w:pPr>
              <w:tabs>
                <w:tab w:val="left" w:pos="90"/>
              </w:tabs>
              <w:spacing w:line="276" w:lineRule="auto"/>
              <w:textAlignment w:val="baseline"/>
              <w:rPr>
                <w:rFonts w:ascii="Adani Regular" w:hAnsi="Adani Regular"/>
                <w:sz w:val="22"/>
                <w:szCs w:val="22"/>
              </w:rPr>
            </w:pPr>
            <w:r w:rsidRPr="00CD752E">
              <w:rPr>
                <w:rFonts w:ascii="Adani Regular" w:hAnsi="Adani Regular" w:cs="Arial"/>
                <w:sz w:val="22"/>
                <w:szCs w:val="22"/>
                <w:lang w:val="en-IN"/>
              </w:rPr>
              <w:lastRenderedPageBreak/>
              <w:t>Offshore Supply Contract 2</w:t>
            </w:r>
            <w:r w:rsidRPr="00CD752E">
              <w:rPr>
                <w:rFonts w:ascii="Adani Regular" w:hAnsi="Adani Regular" w:cs="Arial"/>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58637239"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TIEJUN</w:t>
            </w:r>
          </w:p>
        </w:tc>
        <w:tc>
          <w:tcPr>
            <w:tcW w:w="4403" w:type="dxa"/>
            <w:tcBorders>
              <w:top w:val="single" w:sz="6" w:space="0" w:color="auto"/>
              <w:left w:val="single" w:sz="6" w:space="0" w:color="auto"/>
              <w:bottom w:val="single" w:sz="6" w:space="0" w:color="auto"/>
              <w:right w:val="single" w:sz="6" w:space="0" w:color="auto"/>
            </w:tcBorders>
            <w:shd w:val="clear" w:color="auto" w:fill="auto"/>
            <w:hideMark/>
          </w:tcPr>
          <w:p w14:paraId="7A21CB3F" w14:textId="77777777" w:rsidR="00017499" w:rsidRPr="00CD752E" w:rsidRDefault="00017499" w:rsidP="00CD752E">
            <w:pPr>
              <w:tabs>
                <w:tab w:val="left" w:pos="90"/>
              </w:tabs>
              <w:spacing w:line="276" w:lineRule="auto"/>
              <w:jc w:val="both"/>
              <w:textAlignment w:val="baseline"/>
              <w:rPr>
                <w:rFonts w:ascii="Adani Regular" w:hAnsi="Adani Regular"/>
                <w:sz w:val="22"/>
                <w:szCs w:val="22"/>
              </w:rPr>
            </w:pPr>
            <w:r w:rsidRPr="00CD752E">
              <w:rPr>
                <w:rFonts w:ascii="Adani Regular" w:hAnsi="Adani Regular" w:cs="Arial"/>
                <w:sz w:val="22"/>
                <w:szCs w:val="22"/>
                <w:lang w:val="en-IN"/>
              </w:rPr>
              <w:t>Boiler Auxiliaries, Turbine and its Auxiliaries, Generator Auxiliaries, Balance of Plant including CHP, AHP etc. and miscellaneous packages</w:t>
            </w:r>
            <w:r w:rsidRPr="00CD752E">
              <w:rPr>
                <w:rFonts w:ascii="Adani Regular" w:hAnsi="Adani Regular" w:cs="Arial"/>
                <w:sz w:val="22"/>
                <w:szCs w:val="22"/>
              </w:rPr>
              <w:t> </w:t>
            </w:r>
          </w:p>
        </w:tc>
      </w:tr>
      <w:tr w:rsidR="00017499" w:rsidRPr="00CD752E" w14:paraId="34CA8707" w14:textId="77777777" w:rsidTr="00FF3F0F">
        <w:trPr>
          <w:trHeight w:val="465"/>
        </w:trPr>
        <w:tc>
          <w:tcPr>
            <w:tcW w:w="3232" w:type="dxa"/>
            <w:tcBorders>
              <w:top w:val="single" w:sz="6" w:space="0" w:color="auto"/>
              <w:left w:val="single" w:sz="6" w:space="0" w:color="auto"/>
              <w:bottom w:val="single" w:sz="6" w:space="0" w:color="auto"/>
              <w:right w:val="single" w:sz="6" w:space="0" w:color="auto"/>
            </w:tcBorders>
            <w:shd w:val="clear" w:color="auto" w:fill="auto"/>
            <w:hideMark/>
          </w:tcPr>
          <w:p w14:paraId="1236E1C2" w14:textId="77777777" w:rsidR="00017499" w:rsidRPr="00CD752E" w:rsidRDefault="00017499" w:rsidP="00CD752E">
            <w:pPr>
              <w:tabs>
                <w:tab w:val="left" w:pos="90"/>
              </w:tabs>
              <w:spacing w:line="276" w:lineRule="auto"/>
              <w:textAlignment w:val="baseline"/>
              <w:rPr>
                <w:rFonts w:ascii="Adani Regular" w:hAnsi="Adani Regular"/>
                <w:sz w:val="22"/>
                <w:szCs w:val="22"/>
              </w:rPr>
            </w:pPr>
            <w:r w:rsidRPr="00CD752E">
              <w:rPr>
                <w:rFonts w:ascii="Adani Regular" w:hAnsi="Adani Regular" w:cs="Arial"/>
                <w:sz w:val="22"/>
                <w:szCs w:val="22"/>
                <w:lang w:val="en-IN"/>
              </w:rPr>
              <w:t>Onshore Supply Contract</w:t>
            </w:r>
            <w:r w:rsidRPr="00CD752E">
              <w:rPr>
                <w:rFonts w:ascii="Adani Regular" w:hAnsi="Adani Regular" w:cs="Arial"/>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5E7F9B3A"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HTG</w:t>
            </w:r>
          </w:p>
        </w:tc>
        <w:tc>
          <w:tcPr>
            <w:tcW w:w="4403" w:type="dxa"/>
            <w:tcBorders>
              <w:top w:val="single" w:sz="6" w:space="0" w:color="auto"/>
              <w:left w:val="single" w:sz="6" w:space="0" w:color="auto"/>
              <w:bottom w:val="single" w:sz="6" w:space="0" w:color="auto"/>
              <w:right w:val="single" w:sz="6" w:space="0" w:color="auto"/>
            </w:tcBorders>
            <w:shd w:val="clear" w:color="auto" w:fill="auto"/>
            <w:hideMark/>
          </w:tcPr>
          <w:p w14:paraId="6072F269" w14:textId="77777777" w:rsidR="00017499" w:rsidRPr="00CD752E" w:rsidRDefault="00017499" w:rsidP="00CD752E">
            <w:pPr>
              <w:tabs>
                <w:tab w:val="left" w:pos="90"/>
              </w:tabs>
              <w:spacing w:line="276" w:lineRule="auto"/>
              <w:jc w:val="both"/>
              <w:textAlignment w:val="baseline"/>
              <w:rPr>
                <w:rFonts w:ascii="Adani Regular" w:hAnsi="Adani Regular"/>
                <w:sz w:val="22"/>
                <w:szCs w:val="22"/>
              </w:rPr>
            </w:pPr>
            <w:r w:rsidRPr="00CD752E">
              <w:rPr>
                <w:rFonts w:ascii="Adani Regular" w:hAnsi="Adani Regular" w:cs="Arial"/>
                <w:sz w:val="22"/>
                <w:szCs w:val="22"/>
                <w:lang w:val="en-IN"/>
              </w:rPr>
              <w:t>Generator and its Auxiliaries and Turbine Auxiliaries</w:t>
            </w:r>
            <w:r w:rsidRPr="00CD752E">
              <w:rPr>
                <w:rFonts w:ascii="Adani Regular" w:hAnsi="Adani Regular" w:cs="Arial"/>
                <w:sz w:val="22"/>
                <w:szCs w:val="22"/>
              </w:rPr>
              <w:t> </w:t>
            </w:r>
          </w:p>
        </w:tc>
      </w:tr>
    </w:tbl>
    <w:p w14:paraId="58AAEC10" w14:textId="77777777" w:rsidR="00017499" w:rsidRPr="00CD752E" w:rsidRDefault="00017499" w:rsidP="00CD752E">
      <w:pPr>
        <w:tabs>
          <w:tab w:val="left" w:pos="90"/>
        </w:tabs>
        <w:spacing w:line="276" w:lineRule="auto"/>
        <w:textAlignment w:val="baseline"/>
        <w:rPr>
          <w:rFonts w:ascii="Adani Regular" w:hAnsi="Adani Regular" w:cs="Segoe UI"/>
          <w:sz w:val="22"/>
          <w:szCs w:val="22"/>
        </w:rPr>
      </w:pPr>
      <w:r w:rsidRPr="00CD752E">
        <w:rPr>
          <w:rFonts w:ascii="Adani Regular" w:hAnsi="Adani Regular" w:cs="Arial"/>
          <w:sz w:val="22"/>
          <w:szCs w:val="22"/>
        </w:rPr>
        <w:t> </w:t>
      </w:r>
    </w:p>
    <w:p w14:paraId="302EF775" w14:textId="77777777" w:rsidR="00017499" w:rsidRPr="00CD752E" w:rsidRDefault="00017499" w:rsidP="00CD752E">
      <w:pPr>
        <w:tabs>
          <w:tab w:val="left" w:pos="90"/>
        </w:tabs>
        <w:spacing w:line="276" w:lineRule="auto"/>
        <w:textAlignment w:val="baseline"/>
        <w:rPr>
          <w:rFonts w:ascii="Adani Regular" w:hAnsi="Adani Regular" w:cs="Segoe UI"/>
          <w:sz w:val="22"/>
          <w:szCs w:val="22"/>
        </w:rPr>
      </w:pPr>
      <w:r w:rsidRPr="00CD752E">
        <w:rPr>
          <w:rFonts w:ascii="Adani Regular" w:hAnsi="Adani Regular" w:cs="Arial"/>
          <w:sz w:val="22"/>
          <w:szCs w:val="22"/>
        </w:rPr>
        <w:t>Supply of equipment includes complete mechanical, electrical and C&amp;I items along with mandatory spares and tools and tackles. </w:t>
      </w:r>
    </w:p>
    <w:p w14:paraId="14D80E96" w14:textId="77777777" w:rsidR="00017499" w:rsidRPr="00CD752E" w:rsidRDefault="00017499" w:rsidP="00CD752E">
      <w:pPr>
        <w:tabs>
          <w:tab w:val="left" w:pos="90"/>
        </w:tabs>
        <w:spacing w:line="276" w:lineRule="auto"/>
        <w:textAlignment w:val="baseline"/>
        <w:rPr>
          <w:rFonts w:ascii="Adani Regular" w:hAnsi="Adani Regular" w:cs="Segoe UI"/>
          <w:sz w:val="22"/>
          <w:szCs w:val="22"/>
        </w:rPr>
      </w:pPr>
      <w:r w:rsidRPr="00CD752E">
        <w:rPr>
          <w:rFonts w:ascii="Adani Regular" w:hAnsi="Adani Regular" w:cs="Arial"/>
          <w:sz w:val="22"/>
          <w:szCs w:val="22"/>
        </w:rPr>
        <w:t> </w:t>
      </w:r>
    </w:p>
    <w:p w14:paraId="3FB4441E" w14:textId="77777777" w:rsidR="00017499" w:rsidRPr="00CD752E" w:rsidRDefault="00017499" w:rsidP="00CD752E">
      <w:pPr>
        <w:tabs>
          <w:tab w:val="left" w:pos="90"/>
        </w:tabs>
        <w:spacing w:line="276" w:lineRule="auto"/>
        <w:jc w:val="both"/>
        <w:textAlignment w:val="baseline"/>
        <w:rPr>
          <w:rFonts w:ascii="Adani Regular" w:hAnsi="Adani Regular" w:cs="Arial"/>
          <w:sz w:val="22"/>
          <w:szCs w:val="22"/>
        </w:rPr>
      </w:pPr>
      <w:r w:rsidRPr="00CD752E">
        <w:rPr>
          <w:rFonts w:ascii="Adani Regular" w:hAnsi="Adani Regular" w:cs="Arial"/>
          <w:sz w:val="22"/>
          <w:szCs w:val="22"/>
        </w:rPr>
        <w:t>Scope of Service Contracts is as under:</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3"/>
        <w:gridCol w:w="1504"/>
        <w:gridCol w:w="5617"/>
      </w:tblGrid>
      <w:tr w:rsidR="00017499" w:rsidRPr="00CD752E" w14:paraId="721A4E5E" w14:textId="77777777" w:rsidTr="00FF3F0F">
        <w:trPr>
          <w:trHeight w:val="300"/>
        </w:trPr>
        <w:tc>
          <w:tcPr>
            <w:tcW w:w="2223" w:type="dxa"/>
            <w:tcBorders>
              <w:top w:val="single" w:sz="6" w:space="0" w:color="auto"/>
              <w:left w:val="single" w:sz="6" w:space="0" w:color="auto"/>
              <w:bottom w:val="single" w:sz="6" w:space="0" w:color="auto"/>
              <w:right w:val="single" w:sz="6" w:space="0" w:color="auto"/>
            </w:tcBorders>
            <w:shd w:val="clear" w:color="auto" w:fill="auto"/>
            <w:hideMark/>
          </w:tcPr>
          <w:p w14:paraId="01A61283"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rPr>
              <w:t> </w:t>
            </w:r>
            <w:r w:rsidRPr="00CD752E">
              <w:rPr>
                <w:rFonts w:ascii="Adani Regular" w:hAnsi="Adani Regular" w:cs="Arial"/>
                <w:b/>
                <w:bCs/>
                <w:sz w:val="22"/>
                <w:szCs w:val="22"/>
                <w:lang w:val="en-IN"/>
              </w:rPr>
              <w:t>Contracts</w:t>
            </w:r>
            <w:r w:rsidRPr="00CD752E">
              <w:rPr>
                <w:rFonts w:ascii="Adani Regular" w:hAnsi="Adani Regular" w:cs="Arial"/>
                <w:sz w:val="22"/>
                <w:szCs w:val="22"/>
              </w:rPr>
              <w:t> </w:t>
            </w:r>
          </w:p>
        </w:tc>
        <w:tc>
          <w:tcPr>
            <w:tcW w:w="1504" w:type="dxa"/>
            <w:tcBorders>
              <w:top w:val="single" w:sz="6" w:space="0" w:color="auto"/>
              <w:left w:val="single" w:sz="6" w:space="0" w:color="auto"/>
              <w:bottom w:val="single" w:sz="6" w:space="0" w:color="auto"/>
              <w:right w:val="single" w:sz="6" w:space="0" w:color="auto"/>
            </w:tcBorders>
            <w:shd w:val="clear" w:color="auto" w:fill="auto"/>
            <w:hideMark/>
          </w:tcPr>
          <w:p w14:paraId="5B20D65F"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b/>
                <w:bCs/>
                <w:sz w:val="22"/>
                <w:szCs w:val="22"/>
                <w:lang w:val="en-IN"/>
              </w:rPr>
              <w:t>Agency</w:t>
            </w:r>
          </w:p>
        </w:tc>
        <w:tc>
          <w:tcPr>
            <w:tcW w:w="5617" w:type="dxa"/>
            <w:tcBorders>
              <w:top w:val="single" w:sz="6" w:space="0" w:color="auto"/>
              <w:left w:val="single" w:sz="6" w:space="0" w:color="auto"/>
              <w:bottom w:val="single" w:sz="6" w:space="0" w:color="auto"/>
              <w:right w:val="single" w:sz="6" w:space="0" w:color="auto"/>
            </w:tcBorders>
            <w:shd w:val="clear" w:color="auto" w:fill="auto"/>
            <w:hideMark/>
          </w:tcPr>
          <w:p w14:paraId="15CCEFDA"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b/>
                <w:bCs/>
                <w:sz w:val="22"/>
                <w:szCs w:val="22"/>
                <w:lang w:val="en-IN"/>
              </w:rPr>
              <w:t>Particulars</w:t>
            </w:r>
            <w:r w:rsidRPr="00CD752E">
              <w:rPr>
                <w:rFonts w:ascii="Adani Regular" w:hAnsi="Adani Regular" w:cs="Arial"/>
                <w:sz w:val="22"/>
                <w:szCs w:val="22"/>
              </w:rPr>
              <w:t> </w:t>
            </w:r>
          </w:p>
        </w:tc>
      </w:tr>
      <w:tr w:rsidR="00017499" w:rsidRPr="00CD752E" w14:paraId="561E9035" w14:textId="77777777" w:rsidTr="00FF3F0F">
        <w:trPr>
          <w:trHeight w:val="795"/>
        </w:trPr>
        <w:tc>
          <w:tcPr>
            <w:tcW w:w="2223" w:type="dxa"/>
            <w:tcBorders>
              <w:top w:val="single" w:sz="6" w:space="0" w:color="auto"/>
              <w:left w:val="single" w:sz="6" w:space="0" w:color="auto"/>
              <w:bottom w:val="single" w:sz="6" w:space="0" w:color="auto"/>
              <w:right w:val="single" w:sz="6" w:space="0" w:color="auto"/>
            </w:tcBorders>
            <w:shd w:val="clear" w:color="auto" w:fill="auto"/>
            <w:hideMark/>
          </w:tcPr>
          <w:p w14:paraId="763D539F" w14:textId="77777777" w:rsidR="00017499" w:rsidRPr="00CD752E" w:rsidRDefault="00017499" w:rsidP="00CD752E">
            <w:pPr>
              <w:tabs>
                <w:tab w:val="left" w:pos="90"/>
              </w:tabs>
              <w:spacing w:line="276" w:lineRule="auto"/>
              <w:textAlignment w:val="baseline"/>
              <w:rPr>
                <w:rFonts w:ascii="Adani Regular" w:hAnsi="Adani Regular"/>
                <w:sz w:val="22"/>
                <w:szCs w:val="22"/>
              </w:rPr>
            </w:pPr>
            <w:r w:rsidRPr="00CD752E">
              <w:rPr>
                <w:rFonts w:ascii="Adani Regular" w:hAnsi="Adani Regular" w:cs="Arial"/>
                <w:sz w:val="22"/>
                <w:szCs w:val="22"/>
                <w:lang w:val="en-IN"/>
              </w:rPr>
              <w:t>Onshore Services Contract</w:t>
            </w:r>
            <w:r w:rsidRPr="00CD752E">
              <w:rPr>
                <w:rFonts w:ascii="Adani Regular" w:hAnsi="Adani Regular" w:cs="Arial"/>
                <w:sz w:val="22"/>
                <w:szCs w:val="22"/>
              </w:rPr>
              <w:t> </w:t>
            </w:r>
          </w:p>
        </w:tc>
        <w:tc>
          <w:tcPr>
            <w:tcW w:w="1504" w:type="dxa"/>
            <w:tcBorders>
              <w:top w:val="single" w:sz="6" w:space="0" w:color="auto"/>
              <w:left w:val="single" w:sz="6" w:space="0" w:color="auto"/>
              <w:bottom w:val="single" w:sz="6" w:space="0" w:color="auto"/>
              <w:right w:val="single" w:sz="6" w:space="0" w:color="auto"/>
            </w:tcBorders>
            <w:shd w:val="clear" w:color="auto" w:fill="auto"/>
            <w:hideMark/>
          </w:tcPr>
          <w:p w14:paraId="29BDF51F" w14:textId="77777777" w:rsidR="00017499" w:rsidRPr="00CD752E" w:rsidRDefault="00017499" w:rsidP="00CD752E">
            <w:pPr>
              <w:tabs>
                <w:tab w:val="left" w:pos="90"/>
              </w:tabs>
              <w:spacing w:line="276" w:lineRule="auto"/>
              <w:jc w:val="center"/>
              <w:textAlignment w:val="baseline"/>
              <w:rPr>
                <w:rFonts w:ascii="Adani Regular" w:hAnsi="Adani Regular"/>
                <w:sz w:val="22"/>
                <w:szCs w:val="22"/>
              </w:rPr>
            </w:pPr>
            <w:r w:rsidRPr="00CD752E">
              <w:rPr>
                <w:rFonts w:ascii="Adani Regular" w:hAnsi="Adani Regular" w:cs="Arial"/>
                <w:sz w:val="22"/>
                <w:szCs w:val="22"/>
                <w:lang w:val="en-IN"/>
              </w:rPr>
              <w:t>HTG</w:t>
            </w:r>
          </w:p>
        </w:tc>
        <w:tc>
          <w:tcPr>
            <w:tcW w:w="5617" w:type="dxa"/>
            <w:tcBorders>
              <w:top w:val="single" w:sz="6" w:space="0" w:color="auto"/>
              <w:left w:val="single" w:sz="6" w:space="0" w:color="auto"/>
              <w:bottom w:val="single" w:sz="6" w:space="0" w:color="auto"/>
              <w:right w:val="single" w:sz="6" w:space="0" w:color="auto"/>
            </w:tcBorders>
            <w:shd w:val="clear" w:color="auto" w:fill="auto"/>
            <w:hideMark/>
          </w:tcPr>
          <w:p w14:paraId="77717190" w14:textId="77777777" w:rsidR="00017499" w:rsidRPr="00CD752E" w:rsidRDefault="00017499" w:rsidP="00CD752E">
            <w:pPr>
              <w:tabs>
                <w:tab w:val="left" w:pos="90"/>
              </w:tabs>
              <w:spacing w:line="276" w:lineRule="auto"/>
              <w:jc w:val="both"/>
              <w:textAlignment w:val="baseline"/>
              <w:rPr>
                <w:rFonts w:ascii="Adani Regular" w:hAnsi="Adani Regular"/>
                <w:sz w:val="22"/>
                <w:szCs w:val="22"/>
              </w:rPr>
            </w:pPr>
            <w:r w:rsidRPr="00CD752E">
              <w:rPr>
                <w:rFonts w:ascii="Adani Regular" w:hAnsi="Adani Regular" w:cs="Arial"/>
                <w:sz w:val="22"/>
                <w:szCs w:val="22"/>
                <w:lang w:val="en-IN"/>
              </w:rPr>
              <w:t>Receipt of equipment at port, custom clearance, port handling, inland transportation including transit insurance, storage, installation, erection, testing, commissioning, conducting PG test, construction and associated civil works. </w:t>
            </w:r>
            <w:r w:rsidRPr="00CD752E">
              <w:rPr>
                <w:rFonts w:ascii="Adani Regular" w:hAnsi="Adani Regular" w:cs="Arial"/>
                <w:sz w:val="22"/>
                <w:szCs w:val="22"/>
              </w:rPr>
              <w:t> </w:t>
            </w:r>
          </w:p>
        </w:tc>
      </w:tr>
    </w:tbl>
    <w:p w14:paraId="6D8F147F" w14:textId="77777777" w:rsidR="00017499" w:rsidRPr="00CD752E" w:rsidRDefault="00017499" w:rsidP="00CD752E">
      <w:pPr>
        <w:tabs>
          <w:tab w:val="left" w:pos="90"/>
        </w:tabs>
        <w:spacing w:line="276" w:lineRule="auto"/>
        <w:textAlignment w:val="baseline"/>
        <w:rPr>
          <w:rFonts w:ascii="Adani Regular" w:hAnsi="Adani Regular" w:cs="Arial"/>
          <w:sz w:val="22"/>
          <w:szCs w:val="22"/>
        </w:rPr>
      </w:pPr>
      <w:r w:rsidRPr="00CD752E">
        <w:rPr>
          <w:rFonts w:ascii="Adani Regular" w:hAnsi="Adani Regular" w:cs="Arial"/>
          <w:sz w:val="22"/>
          <w:szCs w:val="22"/>
        </w:rPr>
        <w:t> </w:t>
      </w:r>
    </w:p>
    <w:p w14:paraId="1C23163A" w14:textId="455C6AC3" w:rsidR="00D11508" w:rsidRDefault="00017499" w:rsidP="00CD752E">
      <w:pPr>
        <w:tabs>
          <w:tab w:val="left" w:pos="90"/>
        </w:tabs>
        <w:spacing w:line="276" w:lineRule="auto"/>
        <w:jc w:val="both"/>
        <w:textAlignment w:val="baseline"/>
        <w:rPr>
          <w:rFonts w:ascii="Adani Regular" w:hAnsi="Adani Regular" w:cs="Arial"/>
          <w:sz w:val="22"/>
          <w:szCs w:val="22"/>
        </w:rPr>
      </w:pPr>
      <w:r w:rsidRPr="00CD752E">
        <w:rPr>
          <w:rFonts w:ascii="Adani Regular" w:hAnsi="Adani Regular" w:cs="Arial"/>
          <w:sz w:val="22"/>
          <w:szCs w:val="22"/>
        </w:rPr>
        <w:t xml:space="preserve">SEPCO III is the parent company of HTG and Tie Jun and as per clause 8 of the Co-ordination Agreement (copy attached), SEPCO III has to </w:t>
      </w:r>
      <w:proofErr w:type="spellStart"/>
      <w:r w:rsidRPr="00CD752E">
        <w:rPr>
          <w:rFonts w:ascii="Adani Regular" w:hAnsi="Adani Regular" w:cs="Arial"/>
          <w:sz w:val="22"/>
          <w:szCs w:val="22"/>
        </w:rPr>
        <w:t>honour</w:t>
      </w:r>
      <w:proofErr w:type="spellEnd"/>
      <w:r w:rsidRPr="00CD752E">
        <w:rPr>
          <w:rFonts w:ascii="Adani Regular" w:hAnsi="Adani Regular" w:cs="Arial"/>
          <w:sz w:val="22"/>
          <w:szCs w:val="22"/>
        </w:rPr>
        <w:t xml:space="preserve"> the obligations, responsibilities and commitments of Tie Jun and HTG under respective contracts.</w:t>
      </w:r>
    </w:p>
    <w:p w14:paraId="62078D29" w14:textId="1807159D" w:rsidR="00D73571" w:rsidRPr="002E2ABD" w:rsidRDefault="00D73571">
      <w:pPr>
        <w:spacing w:after="160" w:line="259" w:lineRule="auto"/>
        <w:rPr>
          <w:rFonts w:ascii="Adani Regular" w:hAnsi="Adani Regular" w:cs="Arial"/>
          <w:sz w:val="22"/>
          <w:szCs w:val="22"/>
        </w:rPr>
      </w:pPr>
    </w:p>
    <w:sectPr w:rsidR="00D73571" w:rsidRPr="002E2ABD" w:rsidSect="006F278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73AED" w14:textId="77777777" w:rsidR="00A519B9" w:rsidRDefault="00A519B9" w:rsidP="00A84227">
      <w:r>
        <w:separator/>
      </w:r>
    </w:p>
  </w:endnote>
  <w:endnote w:type="continuationSeparator" w:id="0">
    <w:p w14:paraId="7EE85F1B" w14:textId="77777777" w:rsidR="00A519B9" w:rsidRDefault="00A519B9" w:rsidP="00A8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ani Regular">
    <w:altName w:val="Calibri"/>
    <w:charset w:val="00"/>
    <w:family w:val="auto"/>
    <w:pitch w:val="variable"/>
    <w:sig w:usb0="80000025" w:usb1="4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7635852"/>
      <w:docPartObj>
        <w:docPartGallery w:val="Page Numbers (Bottom of Page)"/>
        <w:docPartUnique/>
      </w:docPartObj>
    </w:sdtPr>
    <w:sdtEndPr>
      <w:rPr>
        <w:noProof/>
      </w:rPr>
    </w:sdtEndPr>
    <w:sdtContent>
      <w:p w14:paraId="0B559DF6" w14:textId="77777777" w:rsidR="006F2786" w:rsidRDefault="006F2786">
        <w:pPr>
          <w:pStyle w:val="Footer"/>
          <w:jc w:val="right"/>
        </w:pPr>
        <w:r>
          <w:fldChar w:fldCharType="begin"/>
        </w:r>
        <w:r>
          <w:instrText xml:space="preserve"> PAGE   \* MERGEFORMAT </w:instrText>
        </w:r>
        <w:r>
          <w:fldChar w:fldCharType="separate"/>
        </w:r>
        <w:r w:rsidR="00A90CB3">
          <w:rPr>
            <w:noProof/>
          </w:rPr>
          <w:t>13</w:t>
        </w:r>
        <w:r>
          <w:rPr>
            <w:noProof/>
          </w:rPr>
          <w:fldChar w:fldCharType="end"/>
        </w:r>
      </w:p>
    </w:sdtContent>
  </w:sdt>
  <w:p w14:paraId="6E998A7B" w14:textId="77777777" w:rsidR="006F2786" w:rsidRDefault="006F27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15680" w14:textId="77777777" w:rsidR="00A519B9" w:rsidRDefault="00A519B9" w:rsidP="00A84227">
      <w:r>
        <w:separator/>
      </w:r>
    </w:p>
  </w:footnote>
  <w:footnote w:type="continuationSeparator" w:id="0">
    <w:p w14:paraId="36B273A4" w14:textId="77777777" w:rsidR="00A519B9" w:rsidRDefault="00A519B9" w:rsidP="00A84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71676"/>
    <w:multiLevelType w:val="hybridMultilevel"/>
    <w:tmpl w:val="DFD45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D70A3"/>
    <w:multiLevelType w:val="hybridMultilevel"/>
    <w:tmpl w:val="C18C9808"/>
    <w:lvl w:ilvl="0" w:tplc="0409000F">
      <w:start w:val="1"/>
      <w:numFmt w:val="decimal"/>
      <w:lvlText w:val="%1."/>
      <w:lvlJc w:val="left"/>
      <w:pPr>
        <w:ind w:left="360" w:hanging="360"/>
      </w:pPr>
      <w:rPr>
        <w:b w:val="0"/>
        <w:color w:val="auto"/>
      </w:rPr>
    </w:lvl>
    <w:lvl w:ilvl="1" w:tplc="FC3AEBEE">
      <w:start w:val="1"/>
      <w:numFmt w:val="lowerRoman"/>
      <w:lvlText w:val="%2."/>
      <w:lvlJc w:val="right"/>
      <w:pPr>
        <w:ind w:left="1080" w:hanging="360"/>
      </w:pPr>
      <w:rPr>
        <w:b w:val="0"/>
      </w:r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2D415563"/>
    <w:multiLevelType w:val="hybridMultilevel"/>
    <w:tmpl w:val="B582EA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22C76"/>
    <w:multiLevelType w:val="hybridMultilevel"/>
    <w:tmpl w:val="A2ECCDE4"/>
    <w:lvl w:ilvl="0" w:tplc="FFFFFFFF">
      <w:start w:val="1"/>
      <w:numFmt w:val="lowerLetter"/>
      <w:lvlText w:val="%1."/>
      <w:lvlJc w:val="left"/>
      <w:pPr>
        <w:ind w:left="1080" w:hanging="360"/>
      </w:pPr>
      <w:rPr>
        <w:rFonts w:ascii="Adani Regular" w:eastAsia="Calibri" w:hAnsi="Adani Regular"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364F2301"/>
    <w:multiLevelType w:val="hybridMultilevel"/>
    <w:tmpl w:val="3E664978"/>
    <w:lvl w:ilvl="0" w:tplc="ED36C1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A43841"/>
    <w:multiLevelType w:val="hybridMultilevel"/>
    <w:tmpl w:val="2B26C854"/>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C80081A"/>
    <w:multiLevelType w:val="hybridMultilevel"/>
    <w:tmpl w:val="6F20A026"/>
    <w:lvl w:ilvl="0" w:tplc="0409000F">
      <w:start w:val="1"/>
      <w:numFmt w:val="decimal"/>
      <w:lvlText w:val="%1."/>
      <w:lvlJc w:val="left"/>
      <w:pPr>
        <w:ind w:left="1440" w:hanging="360"/>
      </w:pPr>
    </w:lvl>
    <w:lvl w:ilvl="1" w:tplc="04090003">
      <w:numFmt w:val="decimal"/>
      <w:lvlText w:val="o"/>
      <w:lvlJc w:val="left"/>
      <w:pPr>
        <w:ind w:left="2160" w:hanging="360"/>
      </w:pPr>
      <w:rPr>
        <w:rFonts w:ascii="Courier New" w:hAnsi="Courier New" w:cs="Courier New" w:hint="default"/>
      </w:rPr>
    </w:lvl>
    <w:lvl w:ilvl="2" w:tplc="04090005">
      <w:numFmt w:val="decimal"/>
      <w:lvlText w:val=""/>
      <w:lvlJc w:val="left"/>
      <w:pPr>
        <w:ind w:left="2880" w:hanging="360"/>
      </w:pPr>
      <w:rPr>
        <w:rFonts w:ascii="Wingdings" w:hAnsi="Wingdings" w:hint="default"/>
      </w:rPr>
    </w:lvl>
    <w:lvl w:ilvl="3" w:tplc="04090001">
      <w:numFmt w:val="decimal"/>
      <w:lvlText w:val=""/>
      <w:lvlJc w:val="left"/>
      <w:pPr>
        <w:ind w:left="3600" w:hanging="360"/>
      </w:pPr>
      <w:rPr>
        <w:rFonts w:ascii="Symbol" w:hAnsi="Symbol" w:hint="default"/>
      </w:rPr>
    </w:lvl>
    <w:lvl w:ilvl="4" w:tplc="04090003">
      <w:numFmt w:val="decimal"/>
      <w:lvlText w:val="o"/>
      <w:lvlJc w:val="left"/>
      <w:pPr>
        <w:ind w:left="4320" w:hanging="360"/>
      </w:pPr>
      <w:rPr>
        <w:rFonts w:ascii="Courier New" w:hAnsi="Courier New" w:cs="Courier New" w:hint="default"/>
      </w:rPr>
    </w:lvl>
    <w:lvl w:ilvl="5" w:tplc="04090005">
      <w:numFmt w:val="decimal"/>
      <w:lvlText w:val=""/>
      <w:lvlJc w:val="left"/>
      <w:pPr>
        <w:ind w:left="5040" w:hanging="360"/>
      </w:pPr>
      <w:rPr>
        <w:rFonts w:ascii="Wingdings" w:hAnsi="Wingdings" w:hint="default"/>
      </w:rPr>
    </w:lvl>
    <w:lvl w:ilvl="6" w:tplc="04090001">
      <w:numFmt w:val="decimal"/>
      <w:lvlText w:val=""/>
      <w:lvlJc w:val="left"/>
      <w:pPr>
        <w:ind w:left="5760" w:hanging="360"/>
      </w:pPr>
      <w:rPr>
        <w:rFonts w:ascii="Symbol" w:hAnsi="Symbol" w:hint="default"/>
      </w:rPr>
    </w:lvl>
    <w:lvl w:ilvl="7" w:tplc="04090003">
      <w:numFmt w:val="decimal"/>
      <w:lvlText w:val="o"/>
      <w:lvlJc w:val="left"/>
      <w:pPr>
        <w:ind w:left="6480" w:hanging="360"/>
      </w:pPr>
      <w:rPr>
        <w:rFonts w:ascii="Courier New" w:hAnsi="Courier New" w:cs="Courier New" w:hint="default"/>
      </w:rPr>
    </w:lvl>
    <w:lvl w:ilvl="8" w:tplc="04090005">
      <w:numFmt w:val="decimal"/>
      <w:lvlText w:val=""/>
      <w:lvlJc w:val="left"/>
      <w:pPr>
        <w:ind w:left="7200" w:hanging="360"/>
      </w:pPr>
      <w:rPr>
        <w:rFonts w:ascii="Wingdings" w:hAnsi="Wingdings" w:hint="default"/>
      </w:rPr>
    </w:lvl>
  </w:abstractNum>
  <w:abstractNum w:abstractNumId="7" w15:restartNumberingAfterBreak="0">
    <w:nsid w:val="4E2C40DF"/>
    <w:multiLevelType w:val="hybridMultilevel"/>
    <w:tmpl w:val="FE00E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FA3617"/>
    <w:multiLevelType w:val="hybridMultilevel"/>
    <w:tmpl w:val="BA5CE444"/>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D01108D"/>
    <w:multiLevelType w:val="multilevel"/>
    <w:tmpl w:val="AF76DF7C"/>
    <w:lvl w:ilvl="0">
      <w:start w:val="1"/>
      <w:numFmt w:val="bullet"/>
      <w:lvlText w:val=""/>
      <w:lvlJc w:val="left"/>
      <w:pPr>
        <w:tabs>
          <w:tab w:val="num" w:pos="432"/>
        </w:tabs>
        <w:ind w:left="432" w:hanging="432"/>
      </w:pPr>
      <w:rPr>
        <w:rFonts w:ascii="Wingdings" w:hAnsi="Wingdings" w:hint="default"/>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1800569"/>
    <w:multiLevelType w:val="hybridMultilevel"/>
    <w:tmpl w:val="4EF0D51A"/>
    <w:lvl w:ilvl="0" w:tplc="CD28F4B4">
      <w:start w:val="1"/>
      <w:numFmt w:val="upperLetter"/>
      <w:lvlText w:val="%1."/>
      <w:lvlJc w:val="left"/>
      <w:pPr>
        <w:ind w:left="720" w:hanging="360"/>
      </w:pPr>
      <w:rPr>
        <w:sz w:val="20"/>
        <w:szCs w:val="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5645B58"/>
    <w:multiLevelType w:val="hybridMultilevel"/>
    <w:tmpl w:val="D1D0BE04"/>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BA4252"/>
    <w:multiLevelType w:val="hybridMultilevel"/>
    <w:tmpl w:val="28A83290"/>
    <w:lvl w:ilvl="0" w:tplc="42BC7564">
      <w:numFmt w:val="bullet"/>
      <w:lvlText w:val="-"/>
      <w:lvlJc w:val="left"/>
      <w:pPr>
        <w:ind w:left="720" w:hanging="360"/>
      </w:pPr>
      <w:rPr>
        <w:rFonts w:ascii="Adani Regular" w:eastAsia="Times New Roman" w:hAnsi="Adani Regular" w:cs="Calibri" w:hint="default"/>
        <w:color w:val="auto"/>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79B56204"/>
    <w:multiLevelType w:val="hybridMultilevel"/>
    <w:tmpl w:val="A2ECCDE4"/>
    <w:lvl w:ilvl="0" w:tplc="3788E0BC">
      <w:start w:val="1"/>
      <w:numFmt w:val="lowerLetter"/>
      <w:lvlText w:val="%1."/>
      <w:lvlJc w:val="left"/>
      <w:pPr>
        <w:ind w:left="720" w:hanging="360"/>
      </w:pPr>
      <w:rPr>
        <w:rFonts w:ascii="Adani Regular" w:eastAsia="Calibri" w:hAnsi="Adani Regular"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843C9B"/>
    <w:multiLevelType w:val="hybridMultilevel"/>
    <w:tmpl w:val="A0AC6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0044503">
    <w:abstractNumId w:val="9"/>
  </w:num>
  <w:num w:numId="2" w16cid:durableId="686711387">
    <w:abstractNumId w:val="7"/>
  </w:num>
  <w:num w:numId="3" w16cid:durableId="1009063304">
    <w:abstractNumId w:val="4"/>
  </w:num>
  <w:num w:numId="4" w16cid:durableId="1563247151">
    <w:abstractNumId w:val="8"/>
  </w:num>
  <w:num w:numId="5" w16cid:durableId="1700012372">
    <w:abstractNumId w:val="5"/>
  </w:num>
  <w:num w:numId="6" w16cid:durableId="2025862911">
    <w:abstractNumId w:val="11"/>
  </w:num>
  <w:num w:numId="7" w16cid:durableId="1145926159">
    <w:abstractNumId w:val="0"/>
  </w:num>
  <w:num w:numId="8" w16cid:durableId="376667597">
    <w:abstractNumId w:val="6"/>
    <w:lvlOverride w:ilvl="0">
      <w:startOverride w:val="1"/>
    </w:lvlOverride>
    <w:lvlOverride w:ilvl="1"/>
    <w:lvlOverride w:ilvl="2"/>
    <w:lvlOverride w:ilvl="3"/>
    <w:lvlOverride w:ilvl="4"/>
    <w:lvlOverride w:ilvl="5"/>
    <w:lvlOverride w:ilvl="6"/>
    <w:lvlOverride w:ilvl="7"/>
    <w:lvlOverride w:ilvl="8"/>
  </w:num>
  <w:num w:numId="9" w16cid:durableId="10767821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9015968">
    <w:abstractNumId w:val="12"/>
  </w:num>
  <w:num w:numId="11" w16cid:durableId="734200077">
    <w:abstractNumId w:val="6"/>
  </w:num>
  <w:num w:numId="12" w16cid:durableId="2083597264">
    <w:abstractNumId w:val="14"/>
  </w:num>
  <w:num w:numId="13" w16cid:durableId="1677149586">
    <w:abstractNumId w:val="2"/>
  </w:num>
  <w:num w:numId="14" w16cid:durableId="550651953">
    <w:abstractNumId w:val="3"/>
  </w:num>
  <w:num w:numId="15" w16cid:durableId="1927491297">
    <w:abstractNumId w:val="1"/>
  </w:num>
  <w:num w:numId="16" w16cid:durableId="113876381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D09"/>
    <w:rsid w:val="00002C88"/>
    <w:rsid w:val="00005545"/>
    <w:rsid w:val="00017499"/>
    <w:rsid w:val="00043284"/>
    <w:rsid w:val="0005492F"/>
    <w:rsid w:val="000643CB"/>
    <w:rsid w:val="00080089"/>
    <w:rsid w:val="00085840"/>
    <w:rsid w:val="000A2A0B"/>
    <w:rsid w:val="000B261C"/>
    <w:rsid w:val="000C0806"/>
    <w:rsid w:val="000C4F13"/>
    <w:rsid w:val="000D21D5"/>
    <w:rsid w:val="000E1CC2"/>
    <w:rsid w:val="000F1B8D"/>
    <w:rsid w:val="001061B0"/>
    <w:rsid w:val="001238FC"/>
    <w:rsid w:val="001258EC"/>
    <w:rsid w:val="00151286"/>
    <w:rsid w:val="00195BE1"/>
    <w:rsid w:val="001B1BED"/>
    <w:rsid w:val="001B4D09"/>
    <w:rsid w:val="001C7175"/>
    <w:rsid w:val="002002A0"/>
    <w:rsid w:val="00201512"/>
    <w:rsid w:val="00220969"/>
    <w:rsid w:val="00225334"/>
    <w:rsid w:val="00232E51"/>
    <w:rsid w:val="00242887"/>
    <w:rsid w:val="002576A7"/>
    <w:rsid w:val="00262DC3"/>
    <w:rsid w:val="00267DA5"/>
    <w:rsid w:val="002A6B40"/>
    <w:rsid w:val="002B44C7"/>
    <w:rsid w:val="002B4E82"/>
    <w:rsid w:val="002B6C90"/>
    <w:rsid w:val="002E2ABD"/>
    <w:rsid w:val="002E46B1"/>
    <w:rsid w:val="0030780A"/>
    <w:rsid w:val="003125D2"/>
    <w:rsid w:val="00313455"/>
    <w:rsid w:val="003438A5"/>
    <w:rsid w:val="00373B15"/>
    <w:rsid w:val="003761A8"/>
    <w:rsid w:val="00395BBB"/>
    <w:rsid w:val="003C7B61"/>
    <w:rsid w:val="003D5DD5"/>
    <w:rsid w:val="003D79FA"/>
    <w:rsid w:val="003E5786"/>
    <w:rsid w:val="0040043D"/>
    <w:rsid w:val="00400B70"/>
    <w:rsid w:val="00403E77"/>
    <w:rsid w:val="004147AD"/>
    <w:rsid w:val="00430A8F"/>
    <w:rsid w:val="004336C2"/>
    <w:rsid w:val="00443063"/>
    <w:rsid w:val="004729EA"/>
    <w:rsid w:val="004819CB"/>
    <w:rsid w:val="004B69AC"/>
    <w:rsid w:val="004C03BC"/>
    <w:rsid w:val="004E2F42"/>
    <w:rsid w:val="004F5E89"/>
    <w:rsid w:val="00510888"/>
    <w:rsid w:val="00540F56"/>
    <w:rsid w:val="005567EB"/>
    <w:rsid w:val="005B460F"/>
    <w:rsid w:val="005B5319"/>
    <w:rsid w:val="005D122B"/>
    <w:rsid w:val="005F15EF"/>
    <w:rsid w:val="00605994"/>
    <w:rsid w:val="00624280"/>
    <w:rsid w:val="00652D48"/>
    <w:rsid w:val="006721A1"/>
    <w:rsid w:val="00673118"/>
    <w:rsid w:val="00696396"/>
    <w:rsid w:val="006D7EBE"/>
    <w:rsid w:val="006F2786"/>
    <w:rsid w:val="006F4551"/>
    <w:rsid w:val="007232AA"/>
    <w:rsid w:val="00730DBE"/>
    <w:rsid w:val="00735C45"/>
    <w:rsid w:val="00743D92"/>
    <w:rsid w:val="00753E7A"/>
    <w:rsid w:val="00757F64"/>
    <w:rsid w:val="00770082"/>
    <w:rsid w:val="00800AEF"/>
    <w:rsid w:val="00801BEE"/>
    <w:rsid w:val="00821B27"/>
    <w:rsid w:val="00827ABA"/>
    <w:rsid w:val="00840A23"/>
    <w:rsid w:val="0085282D"/>
    <w:rsid w:val="008630AA"/>
    <w:rsid w:val="00892EEF"/>
    <w:rsid w:val="008B791D"/>
    <w:rsid w:val="008C0153"/>
    <w:rsid w:val="008D3F2B"/>
    <w:rsid w:val="008D6850"/>
    <w:rsid w:val="008F5B3A"/>
    <w:rsid w:val="00901DFA"/>
    <w:rsid w:val="00904D7F"/>
    <w:rsid w:val="0090776A"/>
    <w:rsid w:val="009158B6"/>
    <w:rsid w:val="00915CF5"/>
    <w:rsid w:val="00990FF6"/>
    <w:rsid w:val="00997F71"/>
    <w:rsid w:val="009A5371"/>
    <w:rsid w:val="009B4F93"/>
    <w:rsid w:val="009D11F7"/>
    <w:rsid w:val="009D1F31"/>
    <w:rsid w:val="009E1C00"/>
    <w:rsid w:val="009E6108"/>
    <w:rsid w:val="00A02CEA"/>
    <w:rsid w:val="00A036E7"/>
    <w:rsid w:val="00A03832"/>
    <w:rsid w:val="00A10752"/>
    <w:rsid w:val="00A11CE2"/>
    <w:rsid w:val="00A519B9"/>
    <w:rsid w:val="00A707EF"/>
    <w:rsid w:val="00A83EE9"/>
    <w:rsid w:val="00A83F2D"/>
    <w:rsid w:val="00A84227"/>
    <w:rsid w:val="00A85833"/>
    <w:rsid w:val="00A90CB3"/>
    <w:rsid w:val="00AC09F4"/>
    <w:rsid w:val="00AD4D0E"/>
    <w:rsid w:val="00AE774E"/>
    <w:rsid w:val="00BC601B"/>
    <w:rsid w:val="00BE771F"/>
    <w:rsid w:val="00C15DBC"/>
    <w:rsid w:val="00C2083D"/>
    <w:rsid w:val="00C24A0C"/>
    <w:rsid w:val="00C34708"/>
    <w:rsid w:val="00C438D4"/>
    <w:rsid w:val="00C53121"/>
    <w:rsid w:val="00C72672"/>
    <w:rsid w:val="00C76E3F"/>
    <w:rsid w:val="00C84A28"/>
    <w:rsid w:val="00C87C4C"/>
    <w:rsid w:val="00C93591"/>
    <w:rsid w:val="00CC0D73"/>
    <w:rsid w:val="00CD3CE3"/>
    <w:rsid w:val="00CD752E"/>
    <w:rsid w:val="00CF3E13"/>
    <w:rsid w:val="00D01E2C"/>
    <w:rsid w:val="00D027E6"/>
    <w:rsid w:val="00D11508"/>
    <w:rsid w:val="00D37397"/>
    <w:rsid w:val="00D536AB"/>
    <w:rsid w:val="00D73571"/>
    <w:rsid w:val="00D81E0B"/>
    <w:rsid w:val="00DC17D4"/>
    <w:rsid w:val="00DC1894"/>
    <w:rsid w:val="00E14D71"/>
    <w:rsid w:val="00E23CFB"/>
    <w:rsid w:val="00E419E9"/>
    <w:rsid w:val="00E72C42"/>
    <w:rsid w:val="00E76E57"/>
    <w:rsid w:val="00E80915"/>
    <w:rsid w:val="00EA3765"/>
    <w:rsid w:val="00EA4ACE"/>
    <w:rsid w:val="00EC2816"/>
    <w:rsid w:val="00EE32EA"/>
    <w:rsid w:val="00F016FA"/>
    <w:rsid w:val="00F059B9"/>
    <w:rsid w:val="00F13887"/>
    <w:rsid w:val="00F451E9"/>
    <w:rsid w:val="00F600AC"/>
    <w:rsid w:val="00F63465"/>
    <w:rsid w:val="00F71B4E"/>
    <w:rsid w:val="00F8497E"/>
    <w:rsid w:val="00FB0B41"/>
    <w:rsid w:val="00FD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16D58"/>
  <w15:chartTrackingRefBased/>
  <w15:docId w15:val="{ABF26B52-E69D-4136-B0DB-87699D844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BA"/>
    <w:pPr>
      <w:spacing w:after="0" w:line="240" w:lineRule="auto"/>
    </w:pPr>
    <w:rPr>
      <w:rFonts w:ascii="Times New Roman" w:eastAsia="Times New Roman" w:hAnsi="Times New Roman" w:cs="Times New Roman"/>
      <w:sz w:val="20"/>
      <w:szCs w:val="20"/>
    </w:rPr>
  </w:style>
  <w:style w:type="paragraph" w:styleId="Heading2">
    <w:name w:val="heading 2"/>
    <w:aliases w:val="h2,A.B.C.,Level I for #'s,h21.2.3.,Heading21.2.3.,H2,h2 main heading,Subhead A,B Sub/Bold,hanging indent lvl 2,IP Heading 2,UNDERRUBRIK 1-2,Sub-heading,sl2,Headinnormalg 2,NonTOCHead2,Header 2,l2,Header2,h21,h22,h23,h24,h25,h26,Major,style1,A"/>
    <w:basedOn w:val="Normal"/>
    <w:next w:val="Normal"/>
    <w:link w:val="Heading2Char"/>
    <w:qFormat/>
    <w:rsid w:val="00A10752"/>
    <w:pPr>
      <w:keepNext/>
      <w:widowControl w:val="0"/>
      <w:numPr>
        <w:ilvl w:val="1"/>
        <w:numId w:val="1"/>
      </w:numPr>
      <w:autoSpaceDE w:val="0"/>
      <w:autoSpaceDN w:val="0"/>
      <w:adjustRightInd w:val="0"/>
      <w:spacing w:after="120" w:line="360" w:lineRule="exact"/>
      <w:jc w:val="both"/>
      <w:outlineLvl w:val="1"/>
    </w:pPr>
    <w:rPr>
      <w:rFonts w:ascii="Book Antiqua" w:hAnsi="Book Antiqua"/>
      <w:b/>
      <w:bCs/>
      <w:color w:val="000000"/>
      <w:szCs w:val="24"/>
      <w:u w:val="single"/>
    </w:rPr>
  </w:style>
  <w:style w:type="paragraph" w:styleId="Heading3">
    <w:name w:val="heading 3"/>
    <w:aliases w:val="h3,1.2.3.,Level II for #'s,H3,§1.1.1.,3 bullet,b,2,SECOND,Second,bullet,B1,b1,sidehead3,Client,C Heading,3,Minor,Level 1 - 1,(Appendix Nbr),Sub Sub Heading,heading 3,. (1.1.1),Section Header3,Sub-Clause Paragraph,Reg#sNoBold,4 dash,4 d,e,??? 3"/>
    <w:basedOn w:val="Normal"/>
    <w:next w:val="Normal"/>
    <w:link w:val="Heading3Char"/>
    <w:qFormat/>
    <w:rsid w:val="00A10752"/>
    <w:pPr>
      <w:keepNext/>
      <w:widowControl w:val="0"/>
      <w:numPr>
        <w:ilvl w:val="2"/>
        <w:numId w:val="1"/>
      </w:numPr>
      <w:autoSpaceDE w:val="0"/>
      <w:autoSpaceDN w:val="0"/>
      <w:adjustRightInd w:val="0"/>
      <w:spacing w:line="360" w:lineRule="exact"/>
      <w:jc w:val="both"/>
      <w:outlineLvl w:val="2"/>
    </w:pPr>
    <w:rPr>
      <w:rFonts w:ascii="Book Antiqua" w:hAnsi="Book Antiqua"/>
      <w:b/>
      <w:bCs/>
      <w:color w:val="000000"/>
      <w:szCs w:val="24"/>
      <w:lang w:val="en-AU"/>
    </w:rPr>
  </w:style>
  <w:style w:type="paragraph" w:styleId="Heading4">
    <w:name w:val="heading 4"/>
    <w:aliases w:val="TABLE,heading 4,h4,dash,d,h4 sub sub heading,H4,H41,H42,Heading 41,u4,H43,H411,H421,u41,H44,H412,H422,u42,H45,H413,H423,u43,H46,H414,H424,u44,H47,H415,H425,u45,H48,H416,H426,u46,H49,H417,H427,u47,H410,H418,H428,u48,H419,H429,u49,H420,H4110"/>
    <w:basedOn w:val="Normal"/>
    <w:next w:val="Normal"/>
    <w:link w:val="Heading4Char"/>
    <w:qFormat/>
    <w:rsid w:val="00A10752"/>
    <w:pPr>
      <w:keepNext/>
      <w:widowControl w:val="0"/>
      <w:numPr>
        <w:ilvl w:val="3"/>
        <w:numId w:val="1"/>
      </w:numPr>
      <w:autoSpaceDE w:val="0"/>
      <w:autoSpaceDN w:val="0"/>
      <w:adjustRightInd w:val="0"/>
      <w:spacing w:line="360" w:lineRule="exact"/>
      <w:jc w:val="both"/>
      <w:outlineLvl w:val="3"/>
    </w:pPr>
    <w:rPr>
      <w:rFonts w:ascii="Book Antiqua" w:hAnsi="Book Antiqua"/>
      <w:b/>
      <w:bCs/>
      <w:color w:val="000000"/>
      <w:sz w:val="22"/>
      <w:szCs w:val="22"/>
      <w:lang w:val="en-AU"/>
    </w:rPr>
  </w:style>
  <w:style w:type="paragraph" w:styleId="Heading5">
    <w:name w:val="heading 5"/>
    <w:aliases w:val="N6,h5,sub-bullet,sb,4,H5,H51,H52,u5,H53,H511,H521,u51,H54,H512,H522,u52,H55,H513,H523,u53,H56,H514,H524,u54,H57,H515,H525,u55,H58,H516,H526,u56,H59,H517,H527,u57,H510,H518,H528,u58,H519,H529,u59,H520,H5110,H5210,u510,H530,H5111,H5211,u511,H531"/>
    <w:basedOn w:val="Normal"/>
    <w:next w:val="Normal"/>
    <w:link w:val="Heading5Char"/>
    <w:qFormat/>
    <w:rsid w:val="00A10752"/>
    <w:pPr>
      <w:keepNext/>
      <w:widowControl w:val="0"/>
      <w:numPr>
        <w:ilvl w:val="4"/>
        <w:numId w:val="1"/>
      </w:numPr>
      <w:tabs>
        <w:tab w:val="center" w:pos="-2160"/>
        <w:tab w:val="left" w:pos="-1890"/>
        <w:tab w:val="left" w:pos="-1800"/>
        <w:tab w:val="right" w:pos="-360"/>
        <w:tab w:val="left" w:pos="1440"/>
        <w:tab w:val="center" w:pos="2160"/>
      </w:tabs>
      <w:autoSpaceDE w:val="0"/>
      <w:autoSpaceDN w:val="0"/>
      <w:adjustRightInd w:val="0"/>
      <w:spacing w:line="360" w:lineRule="exact"/>
      <w:ind w:right="-241"/>
      <w:jc w:val="both"/>
      <w:outlineLvl w:val="4"/>
    </w:pPr>
    <w:rPr>
      <w:rFonts w:ascii="Book Antiqua" w:hAnsi="Book Antiqua"/>
      <w:b/>
      <w:bCs/>
      <w:color w:val="000000"/>
      <w:szCs w:val="24"/>
      <w:lang w:val="en-AU"/>
    </w:rPr>
  </w:style>
  <w:style w:type="paragraph" w:styleId="Heading6">
    <w:name w:val="heading 6"/>
    <w:aliases w:val="sub-dash,sd,5,h6,H6,H61,H62,u6,H63,H611,H621,u61,H64,H612,H622,u62,H65,H613,H623,u63,H66,H614,H624,u64,H67,H615,H625,u65,H68,H616,H626,u66,H69,H617,H627,u67,H610,H618,H628,u68,H619,H629,u69,H620,H6110,H6210,u610,H630,H6111,H6211,u611,H631"/>
    <w:basedOn w:val="Normal"/>
    <w:next w:val="Normal"/>
    <w:link w:val="Heading6Char"/>
    <w:qFormat/>
    <w:rsid w:val="00A10752"/>
    <w:pPr>
      <w:widowControl w:val="0"/>
      <w:numPr>
        <w:ilvl w:val="5"/>
        <w:numId w:val="1"/>
      </w:numPr>
      <w:autoSpaceDE w:val="0"/>
      <w:autoSpaceDN w:val="0"/>
      <w:adjustRightInd w:val="0"/>
      <w:spacing w:before="240" w:after="60" w:line="360" w:lineRule="exact"/>
      <w:jc w:val="both"/>
      <w:outlineLvl w:val="5"/>
    </w:pPr>
    <w:rPr>
      <w:rFonts w:ascii="Book Antiqua" w:hAnsi="Book Antiqua"/>
      <w:i/>
      <w:iCs/>
      <w:color w:val="000000"/>
      <w:sz w:val="22"/>
      <w:szCs w:val="22"/>
      <w:lang w:val="en-AU"/>
    </w:rPr>
  </w:style>
  <w:style w:type="paragraph" w:styleId="Heading7">
    <w:name w:val="heading 7"/>
    <w:aliases w:val="h7,H7,H71,H72"/>
    <w:basedOn w:val="Normal"/>
    <w:next w:val="Normal"/>
    <w:link w:val="Heading7Char"/>
    <w:qFormat/>
    <w:rsid w:val="00A10752"/>
    <w:pPr>
      <w:keepNext/>
      <w:widowControl w:val="0"/>
      <w:numPr>
        <w:ilvl w:val="6"/>
        <w:numId w:val="1"/>
      </w:numPr>
      <w:autoSpaceDE w:val="0"/>
      <w:autoSpaceDN w:val="0"/>
      <w:adjustRightInd w:val="0"/>
      <w:spacing w:line="360" w:lineRule="exact"/>
      <w:jc w:val="center"/>
      <w:outlineLvl w:val="6"/>
    </w:pPr>
    <w:rPr>
      <w:rFonts w:ascii="Book Antiqua" w:hAnsi="Book Antiqua"/>
      <w:b/>
      <w:bCs/>
      <w:color w:val="0000FF"/>
      <w:sz w:val="40"/>
      <w:szCs w:val="40"/>
      <w:lang w:val="en-AU"/>
    </w:rPr>
  </w:style>
  <w:style w:type="paragraph" w:styleId="Heading8">
    <w:name w:val="heading 8"/>
    <w:aliases w:val="h8,H8,H81"/>
    <w:basedOn w:val="Normal"/>
    <w:next w:val="Normal"/>
    <w:link w:val="Heading8Char"/>
    <w:qFormat/>
    <w:rsid w:val="00A10752"/>
    <w:pPr>
      <w:keepNext/>
      <w:numPr>
        <w:ilvl w:val="7"/>
        <w:numId w:val="1"/>
      </w:numPr>
      <w:autoSpaceDE w:val="0"/>
      <w:autoSpaceDN w:val="0"/>
      <w:spacing w:line="360" w:lineRule="exact"/>
      <w:jc w:val="both"/>
      <w:outlineLvl w:val="7"/>
    </w:pPr>
    <w:rPr>
      <w:rFonts w:ascii="Book Antiqua" w:hAnsi="Book Antiqua"/>
      <w:color w:val="000000"/>
      <w:szCs w:val="24"/>
    </w:rPr>
  </w:style>
  <w:style w:type="paragraph" w:styleId="Heading9">
    <w:name w:val="heading 9"/>
    <w:aliases w:val="h9,H9,H91"/>
    <w:basedOn w:val="Normal"/>
    <w:next w:val="Normal"/>
    <w:link w:val="Heading9Char"/>
    <w:qFormat/>
    <w:rsid w:val="00A10752"/>
    <w:pPr>
      <w:keepNext/>
      <w:numPr>
        <w:ilvl w:val="8"/>
        <w:numId w:val="1"/>
      </w:numPr>
      <w:autoSpaceDE w:val="0"/>
      <w:autoSpaceDN w:val="0"/>
      <w:spacing w:line="360" w:lineRule="exact"/>
      <w:jc w:val="right"/>
      <w:outlineLvl w:val="8"/>
    </w:pPr>
    <w:rPr>
      <w:rFonts w:ascii="Book Antiqua" w:hAnsi="Book Antiqua"/>
      <w:i/>
      <w:iCs/>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 9,List Paragraph1,Heading 91,Heading 911,Annexure,List Paragraph2,List Paragraph11,Heading 9111,Bullet 05,WinDForce-Letter,Body text bullet,Report Para,Heading 91111,Heading 911111,Heading 9111111,Bullets,bullets,List Paragraph 2"/>
    <w:basedOn w:val="Normal"/>
    <w:link w:val="ListParagraphChar"/>
    <w:uiPriority w:val="34"/>
    <w:qFormat/>
    <w:rsid w:val="00827ABA"/>
    <w:pPr>
      <w:ind w:left="720"/>
    </w:pPr>
    <w:rPr>
      <w:sz w:val="24"/>
      <w:szCs w:val="24"/>
      <w:lang w:val="x-none" w:eastAsia="x-none"/>
    </w:rPr>
  </w:style>
  <w:style w:type="paragraph" w:styleId="BodyText2">
    <w:name w:val="Body Text 2"/>
    <w:aliases w:val="b2,bt2,b2 Char Char Char Char,Body Text 2 Char Char Char Char, Char"/>
    <w:basedOn w:val="Normal"/>
    <w:link w:val="BodyText2Char"/>
    <w:rsid w:val="00827ABA"/>
    <w:pPr>
      <w:jc w:val="both"/>
    </w:pPr>
    <w:rPr>
      <w:rFonts w:ascii="Tahoma" w:hAnsi="Tahoma"/>
      <w:sz w:val="24"/>
      <w:lang w:val="x-none" w:eastAsia="x-none"/>
    </w:rPr>
  </w:style>
  <w:style w:type="character" w:customStyle="1" w:styleId="BodyText2Char">
    <w:name w:val="Body Text 2 Char"/>
    <w:aliases w:val="b2 Char,bt2 Char,b2 Char Char Char Char Char,Body Text 2 Char Char Char Char Char, Char Char"/>
    <w:basedOn w:val="DefaultParagraphFont"/>
    <w:link w:val="BodyText2"/>
    <w:rsid w:val="00827ABA"/>
    <w:rPr>
      <w:rFonts w:ascii="Tahoma" w:eastAsia="Times New Roman" w:hAnsi="Tahoma" w:cs="Times New Roman"/>
      <w:sz w:val="24"/>
      <w:szCs w:val="20"/>
      <w:lang w:val="x-none" w:eastAsia="x-none"/>
    </w:rPr>
  </w:style>
  <w:style w:type="paragraph" w:styleId="NoSpacing">
    <w:name w:val="No Spacing"/>
    <w:aliases w:val="normal,No Spacing1"/>
    <w:link w:val="NoSpacingChar"/>
    <w:uiPriority w:val="1"/>
    <w:qFormat/>
    <w:rsid w:val="00827ABA"/>
    <w:pPr>
      <w:spacing w:after="0" w:line="240" w:lineRule="auto"/>
    </w:pPr>
    <w:rPr>
      <w:rFonts w:ascii="Calibri" w:eastAsia="Calibri" w:hAnsi="Calibri" w:cs="Mangal"/>
      <w:lang w:bidi="hi-IN"/>
    </w:rPr>
  </w:style>
  <w:style w:type="character" w:customStyle="1" w:styleId="NoSpacingChar">
    <w:name w:val="No Spacing Char"/>
    <w:aliases w:val="normal Char,No Spacing1 Char"/>
    <w:link w:val="NoSpacing"/>
    <w:uiPriority w:val="1"/>
    <w:rsid w:val="00827ABA"/>
    <w:rPr>
      <w:rFonts w:ascii="Calibri" w:eastAsia="Calibri" w:hAnsi="Calibri" w:cs="Mangal"/>
      <w:lang w:bidi="hi-IN"/>
    </w:rPr>
  </w:style>
  <w:style w:type="character" w:customStyle="1" w:styleId="ListParagraphChar">
    <w:name w:val="List Paragraph Char"/>
    <w:aliases w:val="heading 9 Char,List Paragraph1 Char,Heading 91 Char,Heading 911 Char,Annexure Char,List Paragraph2 Char,List Paragraph11 Char,Heading 9111 Char,Bullet 05 Char,WinDForce-Letter Char,Body text bullet Char,Report Para Char,Bullets Char"/>
    <w:link w:val="ListParagraph"/>
    <w:uiPriority w:val="34"/>
    <w:qFormat/>
    <w:locked/>
    <w:rsid w:val="00827ABA"/>
    <w:rPr>
      <w:rFonts w:ascii="Times New Roman" w:eastAsia="Times New Roman" w:hAnsi="Times New Roman" w:cs="Times New Roman"/>
      <w:sz w:val="24"/>
      <w:szCs w:val="24"/>
      <w:lang w:val="x-none" w:eastAsia="x-none"/>
    </w:rPr>
  </w:style>
  <w:style w:type="paragraph" w:styleId="NormalWeb">
    <w:name w:val="Normal (Web)"/>
    <w:aliases w:val="Char Char Char,Char Char"/>
    <w:basedOn w:val="Normal"/>
    <w:link w:val="NormalWebChar"/>
    <w:uiPriority w:val="99"/>
    <w:qFormat/>
    <w:rsid w:val="00827ABA"/>
    <w:pPr>
      <w:spacing w:before="100" w:beforeAutospacing="1" w:after="100" w:afterAutospacing="1"/>
    </w:pPr>
    <w:rPr>
      <w:sz w:val="24"/>
      <w:szCs w:val="24"/>
      <w:lang w:val="x-none" w:eastAsia="x-none"/>
    </w:rPr>
  </w:style>
  <w:style w:type="character" w:customStyle="1" w:styleId="NormalWebChar">
    <w:name w:val="Normal (Web) Char"/>
    <w:aliases w:val="Char Char Char Char,Char Char Char1"/>
    <w:link w:val="NormalWeb"/>
    <w:uiPriority w:val="99"/>
    <w:rsid w:val="00827ABA"/>
    <w:rPr>
      <w:rFonts w:ascii="Times New Roman" w:eastAsia="Times New Roman" w:hAnsi="Times New Roman" w:cs="Times New Roman"/>
      <w:sz w:val="24"/>
      <w:szCs w:val="24"/>
      <w:lang w:val="x-none" w:eastAsia="x-none"/>
    </w:rPr>
  </w:style>
  <w:style w:type="paragraph" w:styleId="CommentText">
    <w:name w:val="annotation text"/>
    <w:basedOn w:val="Normal"/>
    <w:link w:val="CommentTextChar"/>
    <w:uiPriority w:val="99"/>
    <w:rsid w:val="00827ABA"/>
    <w:pPr>
      <w:widowControl w:val="0"/>
      <w:autoSpaceDE w:val="0"/>
      <w:autoSpaceDN w:val="0"/>
      <w:adjustRightInd w:val="0"/>
      <w:spacing w:after="200" w:line="360" w:lineRule="exact"/>
      <w:jc w:val="both"/>
    </w:pPr>
    <w:rPr>
      <w:rFonts w:ascii="Book Antiqua" w:hAnsi="Book Antiqua" w:cs="Mangal"/>
      <w:color w:val="000000"/>
      <w:szCs w:val="24"/>
      <w:lang w:val="en-AU" w:eastAsia="x-none" w:bidi="hi-IN"/>
    </w:rPr>
  </w:style>
  <w:style w:type="character" w:customStyle="1" w:styleId="CommentTextChar">
    <w:name w:val="Comment Text Char"/>
    <w:basedOn w:val="DefaultParagraphFont"/>
    <w:link w:val="CommentText"/>
    <w:uiPriority w:val="99"/>
    <w:rsid w:val="00827ABA"/>
    <w:rPr>
      <w:rFonts w:ascii="Book Antiqua" w:eastAsia="Times New Roman" w:hAnsi="Book Antiqua" w:cs="Mangal"/>
      <w:color w:val="000000"/>
      <w:sz w:val="20"/>
      <w:szCs w:val="24"/>
      <w:lang w:val="en-AU" w:eastAsia="x-none" w:bidi="hi-IN"/>
    </w:rPr>
  </w:style>
  <w:style w:type="table" w:styleId="TableGrid">
    <w:name w:val="Table Grid"/>
    <w:basedOn w:val="TableNormal"/>
    <w:uiPriority w:val="59"/>
    <w:rsid w:val="00403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A.B.C. Char,Level I for #'s Char,h21.2.3. Char,Heading21.2.3. Char,H2 Char,h2 main heading Char,Subhead A Char,B Sub/Bold Char,hanging indent lvl 2 Char,IP Heading 2 Char,UNDERRUBRIK 1-2 Char,Sub-heading Char,sl2 Char,l2 Char"/>
    <w:basedOn w:val="DefaultParagraphFont"/>
    <w:link w:val="Heading2"/>
    <w:rsid w:val="00A10752"/>
    <w:rPr>
      <w:rFonts w:ascii="Book Antiqua" w:eastAsia="Times New Roman" w:hAnsi="Book Antiqua" w:cs="Times New Roman"/>
      <w:b/>
      <w:bCs/>
      <w:color w:val="000000"/>
      <w:sz w:val="20"/>
      <w:szCs w:val="24"/>
      <w:u w:val="single"/>
    </w:rPr>
  </w:style>
  <w:style w:type="character" w:customStyle="1" w:styleId="Heading3Char">
    <w:name w:val="Heading 3 Char"/>
    <w:aliases w:val="h3 Char,1.2.3. Char,Level II for #'s Char,H3 Char,§1.1.1. Char,3 bullet Char,b Char,2 Char,SECOND Char,Second Char,bullet Char,B1 Char,b1 Char,sidehead3 Char,Client Char,C Heading Char,3 Char,Minor Char,Level 1 - 1 Char,heading 3 Char"/>
    <w:basedOn w:val="DefaultParagraphFont"/>
    <w:link w:val="Heading3"/>
    <w:rsid w:val="00A10752"/>
    <w:rPr>
      <w:rFonts w:ascii="Book Antiqua" w:eastAsia="Times New Roman" w:hAnsi="Book Antiqua" w:cs="Times New Roman"/>
      <w:b/>
      <w:bCs/>
      <w:color w:val="000000"/>
      <w:sz w:val="20"/>
      <w:szCs w:val="24"/>
      <w:lang w:val="en-AU"/>
    </w:rPr>
  </w:style>
  <w:style w:type="character" w:customStyle="1" w:styleId="Heading4Char">
    <w:name w:val="Heading 4 Char"/>
    <w:aliases w:val="TABLE Char,heading 4 Char,h4 Char,dash Char,d Char,h4 sub sub heading Char,H4 Char,H41 Char,H42 Char,Heading 41 Char,u4 Char,H43 Char,H411 Char,H421 Char,u41 Char,H44 Char,H412 Char,H422 Char,u42 Char,H45 Char,H413 Char,H423 Char,u43 Char"/>
    <w:basedOn w:val="DefaultParagraphFont"/>
    <w:link w:val="Heading4"/>
    <w:rsid w:val="00A10752"/>
    <w:rPr>
      <w:rFonts w:ascii="Book Antiqua" w:eastAsia="Times New Roman" w:hAnsi="Book Antiqua" w:cs="Times New Roman"/>
      <w:b/>
      <w:bCs/>
      <w:color w:val="000000"/>
      <w:lang w:val="en-AU"/>
    </w:rPr>
  </w:style>
  <w:style w:type="character" w:customStyle="1" w:styleId="Heading5Char">
    <w:name w:val="Heading 5 Char"/>
    <w:aliases w:val="N6 Char,h5 Char,sub-bullet Char,sb Char,4 Char,H5 Char,H51 Char,H52 Char,u5 Char,H53 Char,H511 Char,H521 Char,u51 Char,H54 Char,H512 Char,H522 Char,u52 Char,H55 Char,H513 Char,H523 Char,u53 Char,H56 Char,H514 Char,H524 Char,u54 Char"/>
    <w:basedOn w:val="DefaultParagraphFont"/>
    <w:link w:val="Heading5"/>
    <w:rsid w:val="00A10752"/>
    <w:rPr>
      <w:rFonts w:ascii="Book Antiqua" w:eastAsia="Times New Roman" w:hAnsi="Book Antiqua" w:cs="Times New Roman"/>
      <w:b/>
      <w:bCs/>
      <w:color w:val="000000"/>
      <w:sz w:val="20"/>
      <w:szCs w:val="24"/>
      <w:lang w:val="en-AU"/>
    </w:rPr>
  </w:style>
  <w:style w:type="character" w:customStyle="1" w:styleId="Heading6Char">
    <w:name w:val="Heading 6 Char"/>
    <w:aliases w:val="sub-dash Char,sd Char,5 Char,h6 Char,H6 Char,H61 Char,H62 Char,u6 Char,H63 Char,H611 Char,H621 Char,u61 Char,H64 Char,H612 Char,H622 Char,u62 Char,H65 Char,H613 Char,H623 Char,u63 Char,H66 Char,H614 Char,H624 Char,u64 Char,H67 Char"/>
    <w:basedOn w:val="DefaultParagraphFont"/>
    <w:link w:val="Heading6"/>
    <w:rsid w:val="00A10752"/>
    <w:rPr>
      <w:rFonts w:ascii="Book Antiqua" w:eastAsia="Times New Roman" w:hAnsi="Book Antiqua" w:cs="Times New Roman"/>
      <w:i/>
      <w:iCs/>
      <w:color w:val="000000"/>
      <w:lang w:val="en-AU"/>
    </w:rPr>
  </w:style>
  <w:style w:type="character" w:customStyle="1" w:styleId="Heading7Char">
    <w:name w:val="Heading 7 Char"/>
    <w:aliases w:val="h7 Char,H7 Char,H71 Char,H72 Char"/>
    <w:basedOn w:val="DefaultParagraphFont"/>
    <w:link w:val="Heading7"/>
    <w:rsid w:val="00A10752"/>
    <w:rPr>
      <w:rFonts w:ascii="Book Antiqua" w:eastAsia="Times New Roman" w:hAnsi="Book Antiqua" w:cs="Times New Roman"/>
      <w:b/>
      <w:bCs/>
      <w:color w:val="0000FF"/>
      <w:sz w:val="40"/>
      <w:szCs w:val="40"/>
      <w:lang w:val="en-AU"/>
    </w:rPr>
  </w:style>
  <w:style w:type="character" w:customStyle="1" w:styleId="Heading8Char">
    <w:name w:val="Heading 8 Char"/>
    <w:aliases w:val="h8 Char,H8 Char,H81 Char"/>
    <w:basedOn w:val="DefaultParagraphFont"/>
    <w:link w:val="Heading8"/>
    <w:rsid w:val="00A10752"/>
    <w:rPr>
      <w:rFonts w:ascii="Book Antiqua" w:eastAsia="Times New Roman" w:hAnsi="Book Antiqua" w:cs="Times New Roman"/>
      <w:color w:val="000000"/>
      <w:sz w:val="20"/>
      <w:szCs w:val="24"/>
    </w:rPr>
  </w:style>
  <w:style w:type="character" w:customStyle="1" w:styleId="Heading9Char">
    <w:name w:val="Heading 9 Char"/>
    <w:aliases w:val="h9 Char,H9 Char,H91 Char"/>
    <w:basedOn w:val="DefaultParagraphFont"/>
    <w:link w:val="Heading9"/>
    <w:rsid w:val="00A10752"/>
    <w:rPr>
      <w:rFonts w:ascii="Book Antiqua" w:eastAsia="Times New Roman" w:hAnsi="Book Antiqua" w:cs="Times New Roman"/>
      <w:i/>
      <w:iCs/>
      <w:color w:val="000000"/>
      <w:sz w:val="20"/>
      <w:szCs w:val="24"/>
    </w:rPr>
  </w:style>
  <w:style w:type="paragraph" w:styleId="Header">
    <w:name w:val="header"/>
    <w:basedOn w:val="Normal"/>
    <w:link w:val="HeaderChar"/>
    <w:uiPriority w:val="99"/>
    <w:unhideWhenUsed/>
    <w:rsid w:val="006F2786"/>
    <w:pPr>
      <w:tabs>
        <w:tab w:val="center" w:pos="4680"/>
        <w:tab w:val="right" w:pos="9360"/>
      </w:tabs>
    </w:pPr>
  </w:style>
  <w:style w:type="character" w:customStyle="1" w:styleId="HeaderChar">
    <w:name w:val="Header Char"/>
    <w:basedOn w:val="DefaultParagraphFont"/>
    <w:link w:val="Header"/>
    <w:uiPriority w:val="99"/>
    <w:rsid w:val="006F27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F2786"/>
    <w:pPr>
      <w:tabs>
        <w:tab w:val="center" w:pos="4680"/>
        <w:tab w:val="right" w:pos="9360"/>
      </w:tabs>
    </w:pPr>
  </w:style>
  <w:style w:type="character" w:customStyle="1" w:styleId="FooterChar">
    <w:name w:val="Footer Char"/>
    <w:basedOn w:val="DefaultParagraphFont"/>
    <w:link w:val="Footer"/>
    <w:uiPriority w:val="99"/>
    <w:rsid w:val="006F2786"/>
    <w:rPr>
      <w:rFonts w:ascii="Times New Roman" w:eastAsia="Times New Roman" w:hAnsi="Times New Roman" w:cs="Times New Roman"/>
      <w:sz w:val="20"/>
      <w:szCs w:val="20"/>
    </w:rPr>
  </w:style>
  <w:style w:type="paragraph" w:styleId="BodyText">
    <w:name w:val="Body Text"/>
    <w:basedOn w:val="Normal"/>
    <w:link w:val="BodyTextChar"/>
    <w:uiPriority w:val="99"/>
    <w:semiHidden/>
    <w:unhideWhenUsed/>
    <w:rsid w:val="003D79FA"/>
    <w:pPr>
      <w:widowControl w:val="0"/>
      <w:autoSpaceDE w:val="0"/>
      <w:autoSpaceDN w:val="0"/>
      <w:adjustRightInd w:val="0"/>
      <w:spacing w:after="120" w:line="360" w:lineRule="exact"/>
      <w:jc w:val="both"/>
    </w:pPr>
    <w:rPr>
      <w:rFonts w:ascii="Book Antiqua" w:hAnsi="Book Antiqua"/>
      <w:color w:val="000000"/>
      <w:szCs w:val="24"/>
      <w:lang w:val="en-AU"/>
    </w:rPr>
  </w:style>
  <w:style w:type="character" w:customStyle="1" w:styleId="BodyTextChar">
    <w:name w:val="Body Text Char"/>
    <w:basedOn w:val="DefaultParagraphFont"/>
    <w:link w:val="BodyText"/>
    <w:uiPriority w:val="99"/>
    <w:semiHidden/>
    <w:rsid w:val="003D79FA"/>
    <w:rPr>
      <w:rFonts w:ascii="Book Antiqua" w:eastAsia="Times New Roman" w:hAnsi="Book Antiqua" w:cs="Times New Roman"/>
      <w:color w:val="000000"/>
      <w:sz w:val="20"/>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172">
      <w:bodyDiv w:val="1"/>
      <w:marLeft w:val="0"/>
      <w:marRight w:val="0"/>
      <w:marTop w:val="0"/>
      <w:marBottom w:val="0"/>
      <w:divBdr>
        <w:top w:val="none" w:sz="0" w:space="0" w:color="auto"/>
        <w:left w:val="none" w:sz="0" w:space="0" w:color="auto"/>
        <w:bottom w:val="none" w:sz="0" w:space="0" w:color="auto"/>
        <w:right w:val="none" w:sz="0" w:space="0" w:color="auto"/>
      </w:divBdr>
    </w:div>
    <w:div w:id="239559459">
      <w:bodyDiv w:val="1"/>
      <w:marLeft w:val="0"/>
      <w:marRight w:val="0"/>
      <w:marTop w:val="0"/>
      <w:marBottom w:val="0"/>
      <w:divBdr>
        <w:top w:val="none" w:sz="0" w:space="0" w:color="auto"/>
        <w:left w:val="none" w:sz="0" w:space="0" w:color="auto"/>
        <w:bottom w:val="none" w:sz="0" w:space="0" w:color="auto"/>
        <w:right w:val="none" w:sz="0" w:space="0" w:color="auto"/>
      </w:divBdr>
    </w:div>
    <w:div w:id="990136929">
      <w:bodyDiv w:val="1"/>
      <w:marLeft w:val="0"/>
      <w:marRight w:val="0"/>
      <w:marTop w:val="0"/>
      <w:marBottom w:val="0"/>
      <w:divBdr>
        <w:top w:val="none" w:sz="0" w:space="0" w:color="auto"/>
        <w:left w:val="none" w:sz="0" w:space="0" w:color="auto"/>
        <w:bottom w:val="none" w:sz="0" w:space="0" w:color="auto"/>
        <w:right w:val="none" w:sz="0" w:space="0" w:color="auto"/>
      </w:divBdr>
    </w:div>
    <w:div w:id="1078284793">
      <w:bodyDiv w:val="1"/>
      <w:marLeft w:val="0"/>
      <w:marRight w:val="0"/>
      <w:marTop w:val="0"/>
      <w:marBottom w:val="0"/>
      <w:divBdr>
        <w:top w:val="none" w:sz="0" w:space="0" w:color="auto"/>
        <w:left w:val="none" w:sz="0" w:space="0" w:color="auto"/>
        <w:bottom w:val="none" w:sz="0" w:space="0" w:color="auto"/>
        <w:right w:val="none" w:sz="0" w:space="0" w:color="auto"/>
      </w:divBdr>
    </w:div>
    <w:div w:id="1142694883">
      <w:bodyDiv w:val="1"/>
      <w:marLeft w:val="0"/>
      <w:marRight w:val="0"/>
      <w:marTop w:val="0"/>
      <w:marBottom w:val="0"/>
      <w:divBdr>
        <w:top w:val="none" w:sz="0" w:space="0" w:color="auto"/>
        <w:left w:val="none" w:sz="0" w:space="0" w:color="auto"/>
        <w:bottom w:val="none" w:sz="0" w:space="0" w:color="auto"/>
        <w:right w:val="none" w:sz="0" w:space="0" w:color="auto"/>
      </w:divBdr>
    </w:div>
    <w:div w:id="177628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519</TotalTime>
  <Pages>9</Pages>
  <Words>3126</Words>
  <Characters>17822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Adani Enterprise</Company>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Vaibhav Chandak</dc:creator>
  <cp:keywords/>
  <dc:description/>
  <cp:lastModifiedBy>Manas Upmanyu</cp:lastModifiedBy>
  <cp:revision>168</cp:revision>
  <dcterms:created xsi:type="dcterms:W3CDTF">2022-06-22T08:00:00Z</dcterms:created>
  <dcterms:modified xsi:type="dcterms:W3CDTF">2023-11-01T05:43:00Z</dcterms:modified>
</cp:coreProperties>
</file>